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6BB" w:rsidRPr="00760B77" w:rsidRDefault="007C28FD" w:rsidP="00760B77">
      <w:pPr>
        <w:spacing w:after="0" w:line="240" w:lineRule="auto"/>
        <w:jc w:val="center"/>
        <w:rPr>
          <w:rFonts w:eastAsia="Times New Roman" w:cs="Arial"/>
          <w:b/>
          <w:sz w:val="30"/>
          <w:szCs w:val="30"/>
          <w:lang w:val="en-GB" w:eastAsia="mk-MK"/>
        </w:rPr>
      </w:pPr>
      <w:r w:rsidRPr="00760B77">
        <w:rPr>
          <w:rFonts w:eastAsia="Times New Roman" w:cs="Arial"/>
          <w:b/>
          <w:sz w:val="30"/>
          <w:szCs w:val="30"/>
          <w:lang w:val="en-GB" w:eastAsia="mk-MK"/>
        </w:rPr>
        <w:t xml:space="preserve">Macedonian </w:t>
      </w:r>
      <w:r w:rsidR="00A71CE5" w:rsidRPr="00760B77">
        <w:rPr>
          <w:rFonts w:eastAsia="Times New Roman" w:cs="Arial"/>
          <w:b/>
          <w:sz w:val="30"/>
          <w:szCs w:val="30"/>
          <w:lang w:val="en-GB" w:eastAsia="mk-MK"/>
        </w:rPr>
        <w:t xml:space="preserve">local government and </w:t>
      </w:r>
      <w:r w:rsidRPr="00760B77">
        <w:rPr>
          <w:rFonts w:eastAsia="Times New Roman" w:cs="Arial"/>
          <w:b/>
          <w:sz w:val="30"/>
          <w:szCs w:val="30"/>
          <w:lang w:val="en-GB" w:eastAsia="mk-MK"/>
        </w:rPr>
        <w:t>regional aspects</w:t>
      </w:r>
    </w:p>
    <w:p w:rsidR="007C28FD" w:rsidRPr="00760B77" w:rsidRDefault="007C28FD" w:rsidP="00760B77">
      <w:pPr>
        <w:spacing w:after="0" w:line="240" w:lineRule="auto"/>
        <w:jc w:val="center"/>
        <w:rPr>
          <w:rFonts w:eastAsia="Times New Roman" w:cs="Arial"/>
          <w:sz w:val="30"/>
          <w:szCs w:val="30"/>
          <w:lang w:val="en-GB" w:eastAsia="mk-MK"/>
        </w:rPr>
      </w:pPr>
    </w:p>
    <w:p w:rsidR="007C28FD" w:rsidRPr="00760B77" w:rsidRDefault="007C28FD" w:rsidP="00760B77">
      <w:pPr>
        <w:spacing w:after="0" w:line="240" w:lineRule="auto"/>
        <w:jc w:val="center"/>
        <w:rPr>
          <w:rFonts w:eastAsia="Times New Roman" w:cs="Arial"/>
          <w:sz w:val="30"/>
          <w:szCs w:val="30"/>
          <w:lang w:val="en-GB" w:eastAsia="mk-MK"/>
        </w:rPr>
      </w:pPr>
      <w:proofErr w:type="spellStart"/>
      <w:r w:rsidRPr="00760B77">
        <w:rPr>
          <w:rFonts w:eastAsia="Times New Roman" w:cs="Arial"/>
          <w:sz w:val="30"/>
          <w:szCs w:val="30"/>
          <w:lang w:val="en-GB" w:eastAsia="mk-MK"/>
        </w:rPr>
        <w:t>Dr.</w:t>
      </w:r>
      <w:proofErr w:type="spellEnd"/>
      <w:r w:rsidRPr="00760B77">
        <w:rPr>
          <w:rFonts w:eastAsia="Times New Roman" w:cs="Arial"/>
          <w:sz w:val="30"/>
          <w:szCs w:val="30"/>
          <w:lang w:val="en-GB" w:eastAsia="mk-MK"/>
        </w:rPr>
        <w:t xml:space="preserve"> Marjan </w:t>
      </w:r>
      <w:proofErr w:type="spellStart"/>
      <w:r w:rsidRPr="00760B77">
        <w:rPr>
          <w:rFonts w:eastAsia="Times New Roman" w:cs="Arial"/>
          <w:sz w:val="30"/>
          <w:szCs w:val="30"/>
          <w:lang w:val="en-GB" w:eastAsia="mk-MK"/>
        </w:rPr>
        <w:t>Nikolov</w:t>
      </w:r>
      <w:proofErr w:type="spellEnd"/>
    </w:p>
    <w:p w:rsidR="007C28FD" w:rsidRPr="00760B77" w:rsidRDefault="007C28FD" w:rsidP="00760B77">
      <w:pPr>
        <w:spacing w:after="0" w:line="240" w:lineRule="auto"/>
        <w:jc w:val="center"/>
        <w:rPr>
          <w:rFonts w:eastAsia="Times New Roman" w:cs="Arial"/>
          <w:sz w:val="30"/>
          <w:szCs w:val="30"/>
          <w:lang w:val="en-GB" w:eastAsia="mk-MK"/>
        </w:rPr>
      </w:pPr>
    </w:p>
    <w:p w:rsidR="007C28FD" w:rsidRPr="00760B77" w:rsidRDefault="007C28FD" w:rsidP="00760B77">
      <w:pPr>
        <w:spacing w:after="0" w:line="240" w:lineRule="auto"/>
        <w:jc w:val="center"/>
        <w:rPr>
          <w:rFonts w:eastAsia="Times New Roman" w:cs="Arial"/>
          <w:sz w:val="30"/>
          <w:szCs w:val="30"/>
          <w:lang w:val="en-GB" w:eastAsia="mk-MK"/>
        </w:rPr>
      </w:pPr>
      <w:r w:rsidRPr="007C28FD">
        <w:rPr>
          <w:rFonts w:eastAsia="Times New Roman" w:cs="Arial"/>
          <w:sz w:val="30"/>
          <w:szCs w:val="30"/>
          <w:lang w:val="en-GB" w:eastAsia="mk-MK"/>
        </w:rPr>
        <w:t>RSA –</w:t>
      </w:r>
      <w:r w:rsidRPr="00760B77">
        <w:rPr>
          <w:rFonts w:eastAsia="Times New Roman" w:cs="Arial"/>
          <w:sz w:val="30"/>
          <w:szCs w:val="30"/>
          <w:lang w:val="en-GB" w:eastAsia="mk-MK"/>
        </w:rPr>
        <w:t xml:space="preserve"> </w:t>
      </w:r>
      <w:r w:rsidRPr="007C28FD">
        <w:rPr>
          <w:rFonts w:eastAsia="Times New Roman" w:cs="Arial"/>
          <w:sz w:val="30"/>
          <w:szCs w:val="30"/>
          <w:lang w:val="en-GB" w:eastAsia="mk-MK"/>
        </w:rPr>
        <w:t xml:space="preserve">Regional Ambassador for </w:t>
      </w:r>
      <w:r w:rsidRPr="00760B77">
        <w:rPr>
          <w:rFonts w:eastAsia="Times New Roman" w:cs="Arial"/>
          <w:sz w:val="30"/>
          <w:szCs w:val="30"/>
          <w:lang w:val="en-GB" w:eastAsia="mk-MK"/>
        </w:rPr>
        <w:t>Macedonia</w:t>
      </w:r>
    </w:p>
    <w:p w:rsidR="007C28FD" w:rsidRPr="00760B77" w:rsidRDefault="007C28FD" w:rsidP="00760B77">
      <w:pPr>
        <w:spacing w:after="0" w:line="240" w:lineRule="auto"/>
        <w:jc w:val="center"/>
        <w:rPr>
          <w:rFonts w:eastAsia="Times New Roman" w:cs="Arial"/>
          <w:sz w:val="30"/>
          <w:szCs w:val="30"/>
          <w:lang w:val="en-GB" w:eastAsia="mk-MK"/>
        </w:rPr>
      </w:pPr>
      <w:proofErr w:type="spellStart"/>
      <w:r w:rsidRPr="00760B77">
        <w:rPr>
          <w:rFonts w:eastAsia="Times New Roman" w:cs="Arial"/>
          <w:sz w:val="30"/>
          <w:szCs w:val="30"/>
          <w:lang w:val="en-GB" w:eastAsia="mk-MK"/>
        </w:rPr>
        <w:t>Center</w:t>
      </w:r>
      <w:proofErr w:type="spellEnd"/>
      <w:r w:rsidRPr="00760B77">
        <w:rPr>
          <w:rFonts w:eastAsia="Times New Roman" w:cs="Arial"/>
          <w:sz w:val="30"/>
          <w:szCs w:val="30"/>
          <w:lang w:val="en-GB" w:eastAsia="mk-MK"/>
        </w:rPr>
        <w:t xml:space="preserve"> for economic analyses; Skopje; </w:t>
      </w:r>
      <w:hyperlink r:id="rId8" w:history="1">
        <w:r w:rsidRPr="00760B77">
          <w:rPr>
            <w:rStyle w:val="Hyperlink"/>
            <w:rFonts w:eastAsia="Times New Roman" w:cs="Arial"/>
            <w:sz w:val="30"/>
            <w:szCs w:val="30"/>
            <w:lang w:val="en-GB" w:eastAsia="mk-MK"/>
          </w:rPr>
          <w:t>makmar2000@yahoo.com</w:t>
        </w:r>
      </w:hyperlink>
      <w:r w:rsidRPr="00760B77">
        <w:rPr>
          <w:rFonts w:eastAsia="Times New Roman" w:cs="Arial"/>
          <w:sz w:val="30"/>
          <w:szCs w:val="30"/>
          <w:lang w:val="en-GB" w:eastAsia="mk-MK"/>
        </w:rPr>
        <w:t xml:space="preserve"> </w:t>
      </w:r>
    </w:p>
    <w:p w:rsidR="007C28FD" w:rsidRPr="00760B77" w:rsidRDefault="007C28FD" w:rsidP="00760B77">
      <w:pPr>
        <w:spacing w:after="0" w:line="240" w:lineRule="auto"/>
        <w:jc w:val="center"/>
        <w:rPr>
          <w:rFonts w:eastAsia="Times New Roman" w:cs="Arial"/>
          <w:sz w:val="30"/>
          <w:szCs w:val="30"/>
          <w:lang w:val="en-GB" w:eastAsia="mk-MK"/>
        </w:rPr>
      </w:pPr>
      <w:r w:rsidRPr="00760B77">
        <w:rPr>
          <w:rFonts w:eastAsia="Times New Roman" w:cs="Arial"/>
          <w:sz w:val="30"/>
          <w:szCs w:val="30"/>
          <w:lang w:val="en-GB" w:eastAsia="mk-MK"/>
        </w:rPr>
        <w:t xml:space="preserve">International Slavic University, </w:t>
      </w:r>
      <w:proofErr w:type="spellStart"/>
      <w:r w:rsidRPr="00760B77">
        <w:rPr>
          <w:rFonts w:eastAsia="Times New Roman" w:cs="Arial"/>
          <w:sz w:val="30"/>
          <w:szCs w:val="30"/>
          <w:lang w:val="en-GB" w:eastAsia="mk-MK"/>
        </w:rPr>
        <w:t>Sveti</w:t>
      </w:r>
      <w:proofErr w:type="spellEnd"/>
      <w:r w:rsidRPr="00760B77">
        <w:rPr>
          <w:rFonts w:eastAsia="Times New Roman" w:cs="Arial"/>
          <w:sz w:val="30"/>
          <w:szCs w:val="30"/>
          <w:lang w:val="en-GB" w:eastAsia="mk-MK"/>
        </w:rPr>
        <w:t xml:space="preserve"> Nikole</w:t>
      </w:r>
    </w:p>
    <w:p w:rsidR="007C28FD" w:rsidRPr="00760B77" w:rsidRDefault="007C28FD" w:rsidP="00760B77">
      <w:pPr>
        <w:spacing w:after="0" w:line="240" w:lineRule="auto"/>
        <w:jc w:val="center"/>
        <w:rPr>
          <w:rFonts w:eastAsia="Times New Roman" w:cs="Arial"/>
          <w:sz w:val="30"/>
          <w:szCs w:val="30"/>
          <w:lang w:val="en-GB" w:eastAsia="mk-MK"/>
        </w:rPr>
      </w:pPr>
    </w:p>
    <w:p w:rsidR="007C28FD" w:rsidRPr="00760B77" w:rsidRDefault="007C28FD" w:rsidP="00760B77">
      <w:pPr>
        <w:spacing w:after="0" w:line="240" w:lineRule="auto"/>
        <w:jc w:val="both"/>
        <w:rPr>
          <w:rFonts w:eastAsia="Times New Roman" w:cs="Arial"/>
          <w:b/>
          <w:lang w:val="en-GB" w:eastAsia="mk-MK"/>
        </w:rPr>
      </w:pPr>
      <w:r w:rsidRPr="00760B77">
        <w:rPr>
          <w:rFonts w:eastAsia="Times New Roman" w:cs="Arial"/>
          <w:b/>
          <w:lang w:val="en-GB" w:eastAsia="mk-MK"/>
        </w:rPr>
        <w:t>Background</w:t>
      </w:r>
    </w:p>
    <w:p w:rsidR="007C28FD" w:rsidRPr="00760B77" w:rsidRDefault="007C28FD" w:rsidP="00760B77">
      <w:pPr>
        <w:spacing w:after="0" w:line="240" w:lineRule="auto"/>
        <w:jc w:val="both"/>
        <w:rPr>
          <w:rFonts w:eastAsia="Times New Roman" w:cs="Arial"/>
          <w:lang w:val="en-GB" w:eastAsia="mk-MK"/>
        </w:rPr>
      </w:pPr>
    </w:p>
    <w:p w:rsidR="00F41ECA" w:rsidRPr="00760B77" w:rsidRDefault="007C28FD" w:rsidP="00760B77">
      <w:pPr>
        <w:spacing w:after="0" w:line="240" w:lineRule="auto"/>
        <w:jc w:val="both"/>
        <w:rPr>
          <w:color w:val="000000"/>
          <w:lang w:val="en-GB"/>
        </w:rPr>
      </w:pPr>
      <w:r w:rsidRPr="00760B77">
        <w:rPr>
          <w:rFonts w:eastAsia="Times New Roman" w:cs="Arial"/>
          <w:lang w:val="en-GB" w:eastAsia="mk-MK"/>
        </w:rPr>
        <w:t xml:space="preserve">Macedonia </w:t>
      </w:r>
      <w:r w:rsidR="00F41ECA" w:rsidRPr="00760B77">
        <w:rPr>
          <w:rFonts w:eastAsia="Times New Roman" w:cs="Arial"/>
          <w:lang w:val="en-GB" w:eastAsia="mk-MK"/>
        </w:rPr>
        <w:t xml:space="preserve">gained its independence from the former Yugoslav federation in 1991. </w:t>
      </w:r>
      <w:r w:rsidR="00F41ECA" w:rsidRPr="00760B77">
        <w:rPr>
          <w:color w:val="000000"/>
          <w:lang w:val="en-GB"/>
        </w:rPr>
        <w:t xml:space="preserve">The political system was a mono-party and coupled with poorly defined property rights and with the redistribution, through soft budget constraints. This soft budget constraint included the interregional redistribution from more developed regions </w:t>
      </w:r>
      <w:r w:rsidR="00D5222D">
        <w:rPr>
          <w:color w:val="000000"/>
          <w:lang w:val="en-GB"/>
        </w:rPr>
        <w:t xml:space="preserve">(MDRs) </w:t>
      </w:r>
      <w:r w:rsidR="00F41ECA" w:rsidRPr="00760B77">
        <w:rPr>
          <w:color w:val="000000"/>
          <w:lang w:val="en-GB"/>
        </w:rPr>
        <w:t xml:space="preserve">to less developed regions (LDRs). </w:t>
      </w:r>
    </w:p>
    <w:p w:rsidR="00760B77" w:rsidRPr="00760B77" w:rsidRDefault="00760B77" w:rsidP="00760B77">
      <w:pPr>
        <w:spacing w:after="0" w:line="240" w:lineRule="auto"/>
        <w:jc w:val="both"/>
        <w:rPr>
          <w:color w:val="000000"/>
          <w:lang w:val="en-GB"/>
        </w:rPr>
      </w:pPr>
    </w:p>
    <w:p w:rsidR="00F41ECA" w:rsidRPr="00760B77" w:rsidRDefault="00F41ECA" w:rsidP="00760B77">
      <w:pPr>
        <w:spacing w:after="0" w:line="240" w:lineRule="auto"/>
        <w:jc w:val="both"/>
        <w:rPr>
          <w:color w:val="000000"/>
          <w:lang w:val="en-GB"/>
        </w:rPr>
      </w:pPr>
      <w:r w:rsidRPr="00760B77">
        <w:rPr>
          <w:color w:val="000000"/>
          <w:lang w:val="en-GB"/>
        </w:rPr>
        <w:t>Within the former Yugoslavia, Macedonia was part of the LDRs benefiting from the subsidies from the MDRs</w:t>
      </w:r>
      <w:r w:rsidRPr="00760B77">
        <w:rPr>
          <w:rStyle w:val="FootnoteReference"/>
          <w:color w:val="000000"/>
          <w:lang w:val="en-GB"/>
        </w:rPr>
        <w:footnoteReference w:id="1"/>
      </w:r>
      <w:r w:rsidRPr="00760B77">
        <w:rPr>
          <w:color w:val="000000"/>
          <w:lang w:val="en-GB"/>
        </w:rPr>
        <w:t xml:space="preserve">. An interesting analysis of the origins of the lesser development in some regions of Yugoslavia is presented in </w:t>
      </w:r>
      <w:proofErr w:type="spellStart"/>
      <w:r w:rsidRPr="00760B77">
        <w:rPr>
          <w:color w:val="000000"/>
          <w:lang w:val="en-GB"/>
        </w:rPr>
        <w:t>Uzunov</w:t>
      </w:r>
      <w:proofErr w:type="spellEnd"/>
      <w:r w:rsidRPr="00760B77">
        <w:rPr>
          <w:color w:val="000000"/>
          <w:lang w:val="en-GB"/>
        </w:rPr>
        <w:t xml:space="preserve"> (1966)</w:t>
      </w:r>
      <w:r w:rsidR="00D5222D">
        <w:rPr>
          <w:rStyle w:val="FootnoteReference"/>
          <w:color w:val="000000"/>
          <w:lang w:val="en-GB"/>
        </w:rPr>
        <w:footnoteReference w:id="2"/>
      </w:r>
      <w:r w:rsidRPr="00760B77">
        <w:rPr>
          <w:color w:val="000000"/>
          <w:lang w:val="en-GB"/>
        </w:rPr>
        <w:t xml:space="preserve">. </w:t>
      </w:r>
      <w:proofErr w:type="spellStart"/>
      <w:r w:rsidRPr="00760B77">
        <w:rPr>
          <w:color w:val="000000"/>
          <w:lang w:val="en-GB"/>
        </w:rPr>
        <w:t>Uzunov’s</w:t>
      </w:r>
      <w:proofErr w:type="spellEnd"/>
      <w:r w:rsidRPr="00760B77">
        <w:rPr>
          <w:color w:val="000000"/>
          <w:lang w:val="en-GB"/>
        </w:rPr>
        <w:t xml:space="preserve"> main thesis is that being a LDR is actually inherited from the past out of the difference between the two feudal states of the Austro-Hungarian and the Ottoman empires. The capitalist breakthrough made them different. Namely, Yugoslav people were exploited in both empires but the growth of production forces was higher under the Austro-Hungarian than the Ottoman rule, thus growing infrastructure and the capital stock, while at the same time production forces and capitalism as such were not developed in the Ottoman Empire. In these different socio-economic situations, the tax system was also different. While in the Austro-Hungarian Empire</w:t>
      </w:r>
      <w:r w:rsidRPr="00760B77" w:rsidDel="00F87C1C">
        <w:rPr>
          <w:color w:val="000000"/>
          <w:lang w:val="en-GB"/>
        </w:rPr>
        <w:t xml:space="preserve"> </w:t>
      </w:r>
      <w:r w:rsidRPr="00760B77">
        <w:rPr>
          <w:color w:val="000000"/>
          <w:lang w:val="en-GB"/>
        </w:rPr>
        <w:t xml:space="preserve">it was new value and profit that was taxed, in the Ottoman Empire the tax system was based on taxing property and forcing redistribution rather than producing new value. Thus, the differences between these regions actually grew further when the first Yugoslav state was established in 1918 as foreign capital was invested in more competitive regions where infrastructure was present and some form of </w:t>
      </w:r>
      <w:proofErr w:type="gramStart"/>
      <w:r w:rsidRPr="00760B77">
        <w:rPr>
          <w:color w:val="000000"/>
          <w:lang w:val="en-GB"/>
        </w:rPr>
        <w:t>capitalism</w:t>
      </w:r>
      <w:proofErr w:type="gramEnd"/>
      <w:r w:rsidRPr="00760B77">
        <w:rPr>
          <w:color w:val="000000"/>
          <w:lang w:val="en-GB"/>
        </w:rPr>
        <w:t xml:space="preserve"> and market economy was already operating</w:t>
      </w:r>
      <w:r w:rsidR="00362863" w:rsidRPr="00760B77">
        <w:rPr>
          <w:color w:val="000000"/>
          <w:lang w:val="en-GB"/>
        </w:rPr>
        <w:t xml:space="preserve">. </w:t>
      </w:r>
    </w:p>
    <w:p w:rsidR="00760B77" w:rsidRPr="00760B77" w:rsidRDefault="00760B77" w:rsidP="00760B77">
      <w:pPr>
        <w:spacing w:after="0" w:line="240" w:lineRule="auto"/>
        <w:jc w:val="both"/>
        <w:rPr>
          <w:color w:val="000000"/>
          <w:lang w:val="en-GB"/>
        </w:rPr>
      </w:pPr>
    </w:p>
    <w:p w:rsidR="00F41ECA" w:rsidRPr="00760B77" w:rsidRDefault="00F41ECA" w:rsidP="00760B77">
      <w:pPr>
        <w:spacing w:after="0" w:line="240" w:lineRule="auto"/>
        <w:jc w:val="both"/>
        <w:rPr>
          <w:color w:val="000000"/>
          <w:lang w:val="en-GB"/>
        </w:rPr>
      </w:pPr>
      <w:r w:rsidRPr="00760B77">
        <w:rPr>
          <w:color w:val="000000"/>
          <w:lang w:val="en-GB"/>
        </w:rPr>
        <w:t>The World Bank (1993)</w:t>
      </w:r>
      <w:r w:rsidR="00053ABA">
        <w:rPr>
          <w:rStyle w:val="FootnoteReference"/>
          <w:color w:val="000000"/>
          <w:lang w:val="en-GB"/>
        </w:rPr>
        <w:footnoteReference w:id="3"/>
      </w:r>
      <w:r w:rsidRPr="00760B77">
        <w:rPr>
          <w:color w:val="000000"/>
          <w:lang w:val="en-GB"/>
        </w:rPr>
        <w:t xml:space="preserve"> stated that Yugoslavia was continually plagued by macroeconomic instability, in part because of the subsidisation of LDRs, poorly performing enterprises and the tolerance of disintegrative tendencies. Yet Yugoslavia did not succeed in eliminating or diminishing regional differences (Table 1)</w:t>
      </w:r>
      <w:r w:rsidR="00362863" w:rsidRPr="00760B77">
        <w:rPr>
          <w:color w:val="000000"/>
          <w:lang w:val="en-GB"/>
        </w:rPr>
        <w:t xml:space="preserve">. </w:t>
      </w:r>
    </w:p>
    <w:p w:rsidR="00760B77" w:rsidRPr="00760B77" w:rsidRDefault="00760B77" w:rsidP="00760B77">
      <w:pPr>
        <w:pStyle w:val="Caption"/>
        <w:keepNext/>
        <w:spacing w:after="0"/>
        <w:jc w:val="center"/>
        <w:rPr>
          <w:rFonts w:asciiTheme="minorHAnsi" w:hAnsiTheme="minorHAnsi"/>
          <w:b w:val="0"/>
          <w:color w:val="auto"/>
          <w:sz w:val="22"/>
          <w:szCs w:val="22"/>
        </w:rPr>
      </w:pPr>
      <w:bookmarkStart w:id="0" w:name="_Toc336895058"/>
    </w:p>
    <w:p w:rsidR="00F41ECA" w:rsidRPr="00760B77" w:rsidRDefault="00F41ECA" w:rsidP="00760B77">
      <w:pPr>
        <w:pStyle w:val="Caption"/>
        <w:keepNext/>
        <w:spacing w:after="0"/>
        <w:jc w:val="both"/>
        <w:rPr>
          <w:rFonts w:asciiTheme="minorHAnsi" w:hAnsiTheme="minorHAnsi"/>
          <w:color w:val="auto"/>
          <w:sz w:val="22"/>
          <w:szCs w:val="22"/>
        </w:rPr>
      </w:pPr>
      <w:r w:rsidRPr="00760B77">
        <w:rPr>
          <w:rFonts w:asciiTheme="minorHAnsi" w:hAnsiTheme="minorHAnsi"/>
          <w:color w:val="auto"/>
          <w:sz w:val="22"/>
          <w:szCs w:val="22"/>
        </w:rPr>
        <w:t>Table</w:t>
      </w:r>
      <w:r w:rsidR="00760B77" w:rsidRPr="00760B77">
        <w:rPr>
          <w:rFonts w:asciiTheme="minorHAnsi" w:hAnsiTheme="minorHAnsi"/>
          <w:color w:val="auto"/>
          <w:sz w:val="22"/>
          <w:szCs w:val="22"/>
        </w:rPr>
        <w:t xml:space="preserve"> 1</w:t>
      </w:r>
      <w:r w:rsidRPr="00760B77">
        <w:rPr>
          <w:rFonts w:asciiTheme="minorHAnsi" w:hAnsiTheme="minorHAnsi"/>
          <w:color w:val="auto"/>
          <w:sz w:val="22"/>
          <w:szCs w:val="22"/>
        </w:rPr>
        <w:t>. Main indicators of Yugoslavia and its republics</w:t>
      </w:r>
      <w:bookmarkEnd w:id="0"/>
      <w:r w:rsidRPr="00760B77">
        <w:rPr>
          <w:rFonts w:asciiTheme="minorHAnsi" w:hAnsiTheme="minorHAnsi"/>
          <w:color w:val="auto"/>
          <w:sz w:val="22"/>
          <w:szCs w:val="22"/>
        </w:rPr>
        <w:t xml:space="preserve">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3"/>
        <w:gridCol w:w="660"/>
        <w:gridCol w:w="1129"/>
        <w:gridCol w:w="691"/>
        <w:gridCol w:w="1258"/>
        <w:gridCol w:w="851"/>
        <w:gridCol w:w="1144"/>
        <w:gridCol w:w="918"/>
        <w:gridCol w:w="742"/>
      </w:tblGrid>
      <w:tr w:rsidR="00760B77" w:rsidRPr="00760B77" w:rsidTr="00760B77">
        <w:trPr>
          <w:jc w:val="right"/>
        </w:trPr>
        <w:tc>
          <w:tcPr>
            <w:tcW w:w="930" w:type="pct"/>
            <w:vAlign w:val="center"/>
          </w:tcPr>
          <w:p w:rsidR="00F41ECA" w:rsidRPr="00760B77" w:rsidRDefault="00F41ECA" w:rsidP="00760B77">
            <w:pPr>
              <w:spacing w:after="0" w:line="240" w:lineRule="auto"/>
              <w:jc w:val="right"/>
              <w:rPr>
                <w:b/>
                <w:color w:val="000000"/>
                <w:sz w:val="20"/>
                <w:szCs w:val="20"/>
                <w:lang w:val="en-GB"/>
              </w:rPr>
            </w:pPr>
          </w:p>
        </w:tc>
        <w:tc>
          <w:tcPr>
            <w:tcW w:w="396" w:type="pct"/>
            <w:vAlign w:val="center"/>
          </w:tcPr>
          <w:p w:rsidR="00F41ECA" w:rsidRPr="00760B77" w:rsidRDefault="00F41ECA" w:rsidP="00760B77">
            <w:pPr>
              <w:spacing w:after="0" w:line="240" w:lineRule="auto"/>
              <w:jc w:val="right"/>
              <w:rPr>
                <w:b/>
                <w:color w:val="000000"/>
                <w:sz w:val="20"/>
                <w:szCs w:val="20"/>
                <w:lang w:val="en-GB"/>
              </w:rPr>
            </w:pPr>
            <w:r w:rsidRPr="00760B77">
              <w:rPr>
                <w:b/>
                <w:color w:val="000000"/>
                <w:sz w:val="20"/>
                <w:szCs w:val="20"/>
                <w:lang w:val="en-GB"/>
              </w:rPr>
              <w:t>Year</w:t>
            </w:r>
          </w:p>
        </w:tc>
        <w:tc>
          <w:tcPr>
            <w:tcW w:w="656" w:type="pct"/>
            <w:vAlign w:val="center"/>
          </w:tcPr>
          <w:p w:rsidR="00F41ECA" w:rsidRPr="00760B77" w:rsidRDefault="00F41ECA" w:rsidP="00760B77">
            <w:pPr>
              <w:spacing w:after="0" w:line="240" w:lineRule="auto"/>
              <w:jc w:val="right"/>
              <w:rPr>
                <w:b/>
                <w:color w:val="000000"/>
                <w:sz w:val="20"/>
                <w:szCs w:val="20"/>
                <w:lang w:val="en-GB"/>
              </w:rPr>
            </w:pPr>
            <w:r w:rsidRPr="00760B77">
              <w:rPr>
                <w:b/>
                <w:color w:val="000000"/>
                <w:sz w:val="20"/>
                <w:szCs w:val="20"/>
                <w:lang w:val="en-GB"/>
              </w:rPr>
              <w:t>Yugoslavia</w:t>
            </w:r>
          </w:p>
        </w:tc>
        <w:tc>
          <w:tcPr>
            <w:tcW w:w="413" w:type="pct"/>
            <w:vAlign w:val="center"/>
          </w:tcPr>
          <w:p w:rsidR="00F41ECA" w:rsidRPr="00760B77" w:rsidRDefault="00F41ECA" w:rsidP="00760B77">
            <w:pPr>
              <w:spacing w:after="0" w:line="240" w:lineRule="auto"/>
              <w:jc w:val="right"/>
              <w:rPr>
                <w:b/>
                <w:color w:val="000000"/>
                <w:sz w:val="20"/>
                <w:szCs w:val="20"/>
                <w:lang w:val="en-GB"/>
              </w:rPr>
            </w:pPr>
            <w:r w:rsidRPr="00760B77">
              <w:rPr>
                <w:b/>
                <w:color w:val="000000"/>
                <w:sz w:val="20"/>
                <w:szCs w:val="20"/>
                <w:lang w:val="en-GB"/>
              </w:rPr>
              <w:t>B&amp;H</w:t>
            </w:r>
          </w:p>
        </w:tc>
        <w:tc>
          <w:tcPr>
            <w:tcW w:w="458" w:type="pct"/>
            <w:vAlign w:val="center"/>
          </w:tcPr>
          <w:p w:rsidR="00F41ECA" w:rsidRPr="00760B77" w:rsidRDefault="00F41ECA" w:rsidP="00760B77">
            <w:pPr>
              <w:spacing w:after="0" w:line="240" w:lineRule="auto"/>
              <w:jc w:val="right"/>
              <w:rPr>
                <w:b/>
                <w:color w:val="000000"/>
                <w:sz w:val="20"/>
                <w:szCs w:val="20"/>
                <w:lang w:val="en-GB"/>
              </w:rPr>
            </w:pPr>
            <w:r w:rsidRPr="00760B77">
              <w:rPr>
                <w:b/>
                <w:color w:val="000000"/>
                <w:sz w:val="20"/>
                <w:szCs w:val="20"/>
                <w:lang w:val="en-GB"/>
              </w:rPr>
              <w:t>Montenegro</w:t>
            </w:r>
          </w:p>
        </w:tc>
        <w:tc>
          <w:tcPr>
            <w:tcW w:w="502" w:type="pct"/>
            <w:vAlign w:val="center"/>
          </w:tcPr>
          <w:p w:rsidR="00F41ECA" w:rsidRPr="00760B77" w:rsidRDefault="00F41ECA" w:rsidP="00760B77">
            <w:pPr>
              <w:spacing w:after="0" w:line="240" w:lineRule="auto"/>
              <w:jc w:val="right"/>
              <w:rPr>
                <w:b/>
                <w:color w:val="000000"/>
                <w:sz w:val="20"/>
                <w:szCs w:val="20"/>
                <w:lang w:val="en-GB"/>
              </w:rPr>
            </w:pPr>
            <w:r w:rsidRPr="00760B77">
              <w:rPr>
                <w:b/>
                <w:color w:val="000000"/>
                <w:sz w:val="20"/>
                <w:szCs w:val="20"/>
                <w:lang w:val="en-GB"/>
              </w:rPr>
              <w:t>Croatia</w:t>
            </w:r>
          </w:p>
        </w:tc>
        <w:tc>
          <w:tcPr>
            <w:tcW w:w="651" w:type="pct"/>
            <w:vAlign w:val="center"/>
          </w:tcPr>
          <w:p w:rsidR="00F41ECA" w:rsidRPr="00760B77" w:rsidRDefault="00F41ECA" w:rsidP="00760B77">
            <w:pPr>
              <w:spacing w:after="0" w:line="240" w:lineRule="auto"/>
              <w:jc w:val="right"/>
              <w:rPr>
                <w:b/>
                <w:color w:val="000000"/>
                <w:sz w:val="20"/>
                <w:szCs w:val="20"/>
                <w:lang w:val="en-GB"/>
              </w:rPr>
            </w:pPr>
            <w:r w:rsidRPr="00760B77">
              <w:rPr>
                <w:b/>
                <w:color w:val="000000"/>
                <w:sz w:val="20"/>
                <w:szCs w:val="20"/>
                <w:lang w:val="en-GB"/>
              </w:rPr>
              <w:t>Macedonia</w:t>
            </w:r>
          </w:p>
        </w:tc>
        <w:tc>
          <w:tcPr>
            <w:tcW w:w="538" w:type="pct"/>
            <w:vAlign w:val="center"/>
          </w:tcPr>
          <w:p w:rsidR="00F41ECA" w:rsidRPr="00760B77" w:rsidRDefault="00F41ECA" w:rsidP="00760B77">
            <w:pPr>
              <w:spacing w:after="0" w:line="240" w:lineRule="auto"/>
              <w:jc w:val="right"/>
              <w:rPr>
                <w:b/>
                <w:color w:val="000000"/>
                <w:sz w:val="20"/>
                <w:szCs w:val="20"/>
                <w:lang w:val="en-GB"/>
              </w:rPr>
            </w:pPr>
            <w:r w:rsidRPr="00760B77">
              <w:rPr>
                <w:b/>
                <w:color w:val="000000"/>
                <w:sz w:val="20"/>
                <w:szCs w:val="20"/>
                <w:lang w:val="en-GB"/>
              </w:rPr>
              <w:t>Slovenia</w:t>
            </w:r>
          </w:p>
        </w:tc>
        <w:tc>
          <w:tcPr>
            <w:tcW w:w="456" w:type="pct"/>
            <w:vAlign w:val="center"/>
          </w:tcPr>
          <w:p w:rsidR="00F41ECA" w:rsidRPr="00760B77" w:rsidRDefault="00F41ECA" w:rsidP="00760B77">
            <w:pPr>
              <w:spacing w:after="0" w:line="240" w:lineRule="auto"/>
              <w:jc w:val="right"/>
              <w:rPr>
                <w:b/>
                <w:color w:val="000000"/>
                <w:sz w:val="20"/>
                <w:szCs w:val="20"/>
                <w:lang w:val="en-GB"/>
              </w:rPr>
            </w:pPr>
            <w:r w:rsidRPr="00760B77">
              <w:rPr>
                <w:b/>
                <w:color w:val="000000"/>
                <w:sz w:val="20"/>
                <w:szCs w:val="20"/>
                <w:lang w:val="en-GB"/>
              </w:rPr>
              <w:t>Serbia</w:t>
            </w:r>
          </w:p>
        </w:tc>
      </w:tr>
      <w:tr w:rsidR="00760B77" w:rsidRPr="00760B77" w:rsidTr="00760B77">
        <w:trPr>
          <w:jc w:val="right"/>
        </w:trPr>
        <w:tc>
          <w:tcPr>
            <w:tcW w:w="930" w:type="pct"/>
          </w:tcPr>
          <w:p w:rsidR="00F41ECA" w:rsidRPr="00760B77" w:rsidRDefault="00F41ECA" w:rsidP="00760B77">
            <w:pPr>
              <w:spacing w:after="0" w:line="240" w:lineRule="auto"/>
              <w:jc w:val="right"/>
              <w:rPr>
                <w:color w:val="000000"/>
                <w:sz w:val="20"/>
                <w:szCs w:val="20"/>
                <w:lang w:val="en-GB"/>
              </w:rPr>
            </w:pPr>
            <w:r w:rsidRPr="00760B77">
              <w:rPr>
                <w:color w:val="000000"/>
                <w:sz w:val="20"/>
                <w:szCs w:val="20"/>
                <w:lang w:val="en-GB"/>
              </w:rPr>
              <w:t>Population (%)</w:t>
            </w:r>
          </w:p>
        </w:tc>
        <w:tc>
          <w:tcPr>
            <w:tcW w:w="396" w:type="pct"/>
          </w:tcPr>
          <w:p w:rsidR="00F41ECA" w:rsidRPr="00760B77" w:rsidRDefault="00F41ECA" w:rsidP="00760B77">
            <w:pPr>
              <w:spacing w:after="0" w:line="240" w:lineRule="auto"/>
              <w:jc w:val="right"/>
              <w:rPr>
                <w:color w:val="000000"/>
                <w:sz w:val="20"/>
                <w:szCs w:val="20"/>
                <w:lang w:val="en-GB"/>
              </w:rPr>
            </w:pPr>
            <w:r w:rsidRPr="00760B77">
              <w:rPr>
                <w:color w:val="000000"/>
                <w:sz w:val="20"/>
                <w:szCs w:val="20"/>
                <w:lang w:val="en-GB"/>
              </w:rPr>
              <w:t>1953</w:t>
            </w:r>
          </w:p>
        </w:tc>
        <w:tc>
          <w:tcPr>
            <w:tcW w:w="656" w:type="pct"/>
          </w:tcPr>
          <w:p w:rsidR="00F41ECA" w:rsidRPr="00760B77" w:rsidRDefault="00F41ECA" w:rsidP="00760B77">
            <w:pPr>
              <w:spacing w:after="0" w:line="240" w:lineRule="auto"/>
              <w:ind w:right="145"/>
              <w:jc w:val="right"/>
              <w:rPr>
                <w:color w:val="000000"/>
                <w:sz w:val="20"/>
                <w:szCs w:val="20"/>
                <w:lang w:val="en-GB"/>
              </w:rPr>
            </w:pPr>
            <w:r w:rsidRPr="00760B77">
              <w:rPr>
                <w:color w:val="000000"/>
                <w:sz w:val="20"/>
                <w:szCs w:val="20"/>
                <w:lang w:val="en-GB"/>
              </w:rPr>
              <w:t>100</w:t>
            </w:r>
          </w:p>
        </w:tc>
        <w:tc>
          <w:tcPr>
            <w:tcW w:w="413"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16.7</w:t>
            </w:r>
          </w:p>
        </w:tc>
        <w:tc>
          <w:tcPr>
            <w:tcW w:w="458"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2.5</w:t>
            </w:r>
          </w:p>
        </w:tc>
        <w:tc>
          <w:tcPr>
            <w:tcW w:w="502"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23.2</w:t>
            </w:r>
          </w:p>
        </w:tc>
        <w:tc>
          <w:tcPr>
            <w:tcW w:w="651" w:type="pct"/>
          </w:tcPr>
          <w:p w:rsidR="00F41ECA" w:rsidRPr="00760B77" w:rsidRDefault="00F41ECA" w:rsidP="00760B77">
            <w:pPr>
              <w:spacing w:after="0" w:line="240" w:lineRule="auto"/>
              <w:ind w:right="136"/>
              <w:jc w:val="right"/>
              <w:rPr>
                <w:color w:val="000000"/>
                <w:sz w:val="20"/>
                <w:szCs w:val="20"/>
                <w:lang w:val="en-GB"/>
              </w:rPr>
            </w:pPr>
            <w:r w:rsidRPr="00760B77">
              <w:rPr>
                <w:color w:val="000000"/>
                <w:sz w:val="20"/>
                <w:szCs w:val="20"/>
                <w:lang w:val="en-GB"/>
              </w:rPr>
              <w:t>7.7</w:t>
            </w:r>
          </w:p>
        </w:tc>
        <w:tc>
          <w:tcPr>
            <w:tcW w:w="538"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8.8</w:t>
            </w:r>
          </w:p>
        </w:tc>
        <w:tc>
          <w:tcPr>
            <w:tcW w:w="456"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41.1</w:t>
            </w:r>
          </w:p>
        </w:tc>
      </w:tr>
      <w:tr w:rsidR="00760B77" w:rsidRPr="00760B77" w:rsidTr="00760B77">
        <w:trPr>
          <w:jc w:val="right"/>
        </w:trPr>
        <w:tc>
          <w:tcPr>
            <w:tcW w:w="930" w:type="pct"/>
          </w:tcPr>
          <w:p w:rsidR="00F41ECA" w:rsidRPr="00760B77" w:rsidRDefault="00F41ECA" w:rsidP="00760B77">
            <w:pPr>
              <w:spacing w:after="0" w:line="240" w:lineRule="auto"/>
              <w:jc w:val="right"/>
              <w:rPr>
                <w:color w:val="000000"/>
                <w:sz w:val="20"/>
                <w:szCs w:val="20"/>
                <w:lang w:val="en-GB"/>
              </w:rPr>
            </w:pPr>
            <w:r w:rsidRPr="00760B77">
              <w:rPr>
                <w:color w:val="000000"/>
                <w:sz w:val="20"/>
                <w:szCs w:val="20"/>
                <w:lang w:val="en-GB"/>
              </w:rPr>
              <w:t>Population (%)</w:t>
            </w:r>
          </w:p>
        </w:tc>
        <w:tc>
          <w:tcPr>
            <w:tcW w:w="396" w:type="pct"/>
          </w:tcPr>
          <w:p w:rsidR="00F41ECA" w:rsidRPr="00760B77" w:rsidRDefault="00F41ECA" w:rsidP="00760B77">
            <w:pPr>
              <w:spacing w:after="0" w:line="240" w:lineRule="auto"/>
              <w:jc w:val="right"/>
              <w:rPr>
                <w:color w:val="000000"/>
                <w:sz w:val="20"/>
                <w:szCs w:val="20"/>
                <w:lang w:val="en-GB"/>
              </w:rPr>
            </w:pPr>
            <w:r w:rsidRPr="00760B77">
              <w:rPr>
                <w:color w:val="000000"/>
                <w:sz w:val="20"/>
                <w:szCs w:val="20"/>
                <w:lang w:val="en-GB"/>
              </w:rPr>
              <w:t>1989</w:t>
            </w:r>
          </w:p>
        </w:tc>
        <w:tc>
          <w:tcPr>
            <w:tcW w:w="656" w:type="pct"/>
          </w:tcPr>
          <w:p w:rsidR="00F41ECA" w:rsidRPr="00760B77" w:rsidRDefault="00F41ECA" w:rsidP="00760B77">
            <w:pPr>
              <w:spacing w:after="0" w:line="240" w:lineRule="auto"/>
              <w:ind w:right="145"/>
              <w:jc w:val="right"/>
              <w:rPr>
                <w:color w:val="000000"/>
                <w:sz w:val="20"/>
                <w:szCs w:val="20"/>
                <w:lang w:val="en-GB"/>
              </w:rPr>
            </w:pPr>
            <w:r w:rsidRPr="00760B77">
              <w:rPr>
                <w:color w:val="000000"/>
                <w:sz w:val="20"/>
                <w:szCs w:val="20"/>
                <w:lang w:val="en-GB"/>
              </w:rPr>
              <w:t>100</w:t>
            </w:r>
          </w:p>
        </w:tc>
        <w:tc>
          <w:tcPr>
            <w:tcW w:w="413"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18.9</w:t>
            </w:r>
          </w:p>
        </w:tc>
        <w:tc>
          <w:tcPr>
            <w:tcW w:w="458"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2.7</w:t>
            </w:r>
          </w:p>
        </w:tc>
        <w:tc>
          <w:tcPr>
            <w:tcW w:w="502"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19.8</w:t>
            </w:r>
          </w:p>
        </w:tc>
        <w:tc>
          <w:tcPr>
            <w:tcW w:w="651" w:type="pct"/>
          </w:tcPr>
          <w:p w:rsidR="00F41ECA" w:rsidRPr="00760B77" w:rsidRDefault="00F41ECA" w:rsidP="00760B77">
            <w:pPr>
              <w:spacing w:after="0" w:line="240" w:lineRule="auto"/>
              <w:ind w:right="136"/>
              <w:jc w:val="right"/>
              <w:rPr>
                <w:color w:val="000000"/>
                <w:sz w:val="20"/>
                <w:szCs w:val="20"/>
                <w:lang w:val="en-GB"/>
              </w:rPr>
            </w:pPr>
            <w:r w:rsidRPr="00760B77">
              <w:rPr>
                <w:color w:val="000000"/>
                <w:sz w:val="20"/>
                <w:szCs w:val="20"/>
                <w:lang w:val="en-GB"/>
              </w:rPr>
              <w:t>8.9</w:t>
            </w:r>
          </w:p>
        </w:tc>
        <w:tc>
          <w:tcPr>
            <w:tcW w:w="538"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8.2</w:t>
            </w:r>
          </w:p>
        </w:tc>
        <w:tc>
          <w:tcPr>
            <w:tcW w:w="456"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41.5</w:t>
            </w:r>
          </w:p>
        </w:tc>
      </w:tr>
      <w:tr w:rsidR="00760B77" w:rsidRPr="00760B77" w:rsidTr="00760B77">
        <w:trPr>
          <w:jc w:val="right"/>
        </w:trPr>
        <w:tc>
          <w:tcPr>
            <w:tcW w:w="930" w:type="pct"/>
          </w:tcPr>
          <w:p w:rsidR="00F41ECA" w:rsidRPr="00760B77" w:rsidRDefault="00F41ECA" w:rsidP="00760B77">
            <w:pPr>
              <w:spacing w:after="0" w:line="240" w:lineRule="auto"/>
              <w:jc w:val="right"/>
              <w:rPr>
                <w:color w:val="000000"/>
                <w:sz w:val="20"/>
                <w:szCs w:val="20"/>
                <w:lang w:val="en-GB"/>
              </w:rPr>
            </w:pPr>
            <w:r w:rsidRPr="00760B77">
              <w:rPr>
                <w:color w:val="000000"/>
                <w:sz w:val="20"/>
                <w:szCs w:val="20"/>
                <w:lang w:val="en-GB"/>
              </w:rPr>
              <w:lastRenderedPageBreak/>
              <w:t>GNP per capita (Yugoslavia=100)</w:t>
            </w:r>
          </w:p>
        </w:tc>
        <w:tc>
          <w:tcPr>
            <w:tcW w:w="396" w:type="pct"/>
          </w:tcPr>
          <w:p w:rsidR="00F41ECA" w:rsidRPr="00760B77" w:rsidRDefault="00F41ECA" w:rsidP="00760B77">
            <w:pPr>
              <w:spacing w:after="0" w:line="240" w:lineRule="auto"/>
              <w:jc w:val="right"/>
              <w:rPr>
                <w:color w:val="000000"/>
                <w:sz w:val="20"/>
                <w:szCs w:val="20"/>
                <w:lang w:val="en-GB"/>
              </w:rPr>
            </w:pPr>
            <w:r w:rsidRPr="00760B77">
              <w:rPr>
                <w:color w:val="000000"/>
                <w:sz w:val="20"/>
                <w:szCs w:val="20"/>
                <w:lang w:val="en-GB"/>
              </w:rPr>
              <w:t>1955</w:t>
            </w:r>
          </w:p>
        </w:tc>
        <w:tc>
          <w:tcPr>
            <w:tcW w:w="656" w:type="pct"/>
          </w:tcPr>
          <w:p w:rsidR="00F41ECA" w:rsidRPr="00760B77" w:rsidRDefault="00F41ECA" w:rsidP="00760B77">
            <w:pPr>
              <w:spacing w:after="0" w:line="240" w:lineRule="auto"/>
              <w:ind w:right="145"/>
              <w:jc w:val="right"/>
              <w:rPr>
                <w:color w:val="000000"/>
                <w:sz w:val="20"/>
                <w:szCs w:val="20"/>
                <w:lang w:val="en-GB"/>
              </w:rPr>
            </w:pPr>
            <w:r w:rsidRPr="00760B77">
              <w:rPr>
                <w:color w:val="000000"/>
                <w:sz w:val="20"/>
                <w:szCs w:val="20"/>
                <w:lang w:val="en-GB"/>
              </w:rPr>
              <w:t>100</w:t>
            </w:r>
          </w:p>
        </w:tc>
        <w:tc>
          <w:tcPr>
            <w:tcW w:w="413"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80</w:t>
            </w:r>
          </w:p>
        </w:tc>
        <w:tc>
          <w:tcPr>
            <w:tcW w:w="458"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80</w:t>
            </w:r>
          </w:p>
        </w:tc>
        <w:tc>
          <w:tcPr>
            <w:tcW w:w="502"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120</w:t>
            </w:r>
          </w:p>
        </w:tc>
        <w:tc>
          <w:tcPr>
            <w:tcW w:w="651" w:type="pct"/>
          </w:tcPr>
          <w:p w:rsidR="00F41ECA" w:rsidRPr="00760B77" w:rsidRDefault="00F41ECA" w:rsidP="00760B77">
            <w:pPr>
              <w:spacing w:after="0" w:line="240" w:lineRule="auto"/>
              <w:ind w:right="136"/>
              <w:jc w:val="right"/>
              <w:rPr>
                <w:color w:val="000000"/>
                <w:sz w:val="20"/>
                <w:szCs w:val="20"/>
                <w:lang w:val="en-GB"/>
              </w:rPr>
            </w:pPr>
            <w:r w:rsidRPr="00760B77">
              <w:rPr>
                <w:color w:val="000000"/>
                <w:sz w:val="20"/>
                <w:szCs w:val="20"/>
                <w:lang w:val="en-GB"/>
              </w:rPr>
              <w:t>60</w:t>
            </w:r>
          </w:p>
        </w:tc>
        <w:tc>
          <w:tcPr>
            <w:tcW w:w="538"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160</w:t>
            </w:r>
          </w:p>
        </w:tc>
        <w:tc>
          <w:tcPr>
            <w:tcW w:w="456"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80</w:t>
            </w:r>
          </w:p>
        </w:tc>
      </w:tr>
      <w:tr w:rsidR="00760B77" w:rsidRPr="00760B77" w:rsidTr="00760B77">
        <w:trPr>
          <w:jc w:val="right"/>
        </w:trPr>
        <w:tc>
          <w:tcPr>
            <w:tcW w:w="930" w:type="pct"/>
          </w:tcPr>
          <w:p w:rsidR="00F41ECA" w:rsidRPr="00760B77" w:rsidRDefault="00F41ECA" w:rsidP="00760B77">
            <w:pPr>
              <w:spacing w:after="0" w:line="240" w:lineRule="auto"/>
              <w:jc w:val="right"/>
              <w:rPr>
                <w:color w:val="000000"/>
                <w:sz w:val="20"/>
                <w:szCs w:val="20"/>
                <w:lang w:val="en-GB"/>
              </w:rPr>
            </w:pPr>
            <w:r w:rsidRPr="00760B77">
              <w:rPr>
                <w:color w:val="000000"/>
                <w:sz w:val="20"/>
                <w:szCs w:val="20"/>
                <w:lang w:val="en-GB"/>
              </w:rPr>
              <w:t>GNP per capita (Yugoslavia=100)</w:t>
            </w:r>
          </w:p>
        </w:tc>
        <w:tc>
          <w:tcPr>
            <w:tcW w:w="396" w:type="pct"/>
          </w:tcPr>
          <w:p w:rsidR="00F41ECA" w:rsidRPr="00760B77" w:rsidRDefault="00F41ECA" w:rsidP="00760B77">
            <w:pPr>
              <w:spacing w:after="0" w:line="240" w:lineRule="auto"/>
              <w:jc w:val="right"/>
              <w:rPr>
                <w:color w:val="000000"/>
                <w:sz w:val="20"/>
                <w:szCs w:val="20"/>
                <w:lang w:val="en-GB"/>
              </w:rPr>
            </w:pPr>
            <w:r w:rsidRPr="00760B77">
              <w:rPr>
                <w:color w:val="000000"/>
                <w:sz w:val="20"/>
                <w:szCs w:val="20"/>
                <w:lang w:val="en-GB"/>
              </w:rPr>
              <w:t>1988</w:t>
            </w:r>
          </w:p>
        </w:tc>
        <w:tc>
          <w:tcPr>
            <w:tcW w:w="656" w:type="pct"/>
          </w:tcPr>
          <w:p w:rsidR="00F41ECA" w:rsidRPr="00760B77" w:rsidRDefault="00F41ECA" w:rsidP="00760B77">
            <w:pPr>
              <w:spacing w:after="0" w:line="240" w:lineRule="auto"/>
              <w:ind w:right="145"/>
              <w:jc w:val="right"/>
              <w:rPr>
                <w:color w:val="000000"/>
                <w:sz w:val="20"/>
                <w:szCs w:val="20"/>
                <w:lang w:val="en-GB"/>
              </w:rPr>
            </w:pPr>
            <w:r w:rsidRPr="00760B77">
              <w:rPr>
                <w:color w:val="000000"/>
                <w:sz w:val="20"/>
                <w:szCs w:val="20"/>
                <w:lang w:val="en-GB"/>
              </w:rPr>
              <w:t>100</w:t>
            </w:r>
          </w:p>
        </w:tc>
        <w:tc>
          <w:tcPr>
            <w:tcW w:w="413"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65</w:t>
            </w:r>
          </w:p>
        </w:tc>
        <w:tc>
          <w:tcPr>
            <w:tcW w:w="458"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71</w:t>
            </w:r>
          </w:p>
        </w:tc>
        <w:tc>
          <w:tcPr>
            <w:tcW w:w="502"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129</w:t>
            </w:r>
          </w:p>
        </w:tc>
        <w:tc>
          <w:tcPr>
            <w:tcW w:w="651" w:type="pct"/>
          </w:tcPr>
          <w:p w:rsidR="00F41ECA" w:rsidRPr="00760B77" w:rsidRDefault="00F41ECA" w:rsidP="00760B77">
            <w:pPr>
              <w:spacing w:after="0" w:line="240" w:lineRule="auto"/>
              <w:ind w:right="136"/>
              <w:jc w:val="right"/>
              <w:rPr>
                <w:color w:val="000000"/>
                <w:sz w:val="20"/>
                <w:szCs w:val="20"/>
                <w:lang w:val="en-GB"/>
              </w:rPr>
            </w:pPr>
            <w:r w:rsidRPr="00760B77">
              <w:rPr>
                <w:color w:val="000000"/>
                <w:sz w:val="20"/>
                <w:szCs w:val="20"/>
                <w:lang w:val="en-GB"/>
              </w:rPr>
              <w:t>65</w:t>
            </w:r>
          </w:p>
        </w:tc>
        <w:tc>
          <w:tcPr>
            <w:tcW w:w="538" w:type="pct"/>
          </w:tcPr>
          <w:p w:rsidR="00F41ECA" w:rsidRPr="00760B77" w:rsidRDefault="00F41ECA" w:rsidP="00760B77">
            <w:pPr>
              <w:spacing w:after="0" w:line="240" w:lineRule="auto"/>
              <w:ind w:right="92"/>
              <w:jc w:val="right"/>
              <w:rPr>
                <w:color w:val="000000"/>
                <w:sz w:val="20"/>
                <w:szCs w:val="20"/>
                <w:lang w:val="en-GB"/>
              </w:rPr>
            </w:pPr>
            <w:r w:rsidRPr="00760B77">
              <w:rPr>
                <w:color w:val="000000"/>
                <w:sz w:val="20"/>
                <w:szCs w:val="20"/>
                <w:lang w:val="en-GB"/>
              </w:rPr>
              <w:t>200</w:t>
            </w:r>
          </w:p>
        </w:tc>
        <w:tc>
          <w:tcPr>
            <w:tcW w:w="456" w:type="pct"/>
          </w:tcPr>
          <w:p w:rsidR="00F41ECA" w:rsidRPr="00760B77" w:rsidRDefault="00F41ECA" w:rsidP="00760B77">
            <w:pPr>
              <w:spacing w:after="0" w:line="240" w:lineRule="auto"/>
              <w:ind w:right="92"/>
              <w:jc w:val="right"/>
              <w:rPr>
                <w:b/>
                <w:bCs/>
                <w:color w:val="000000"/>
                <w:sz w:val="20"/>
                <w:szCs w:val="20"/>
                <w:lang w:val="en-GB"/>
              </w:rPr>
            </w:pPr>
            <w:r w:rsidRPr="00760B77">
              <w:rPr>
                <w:color w:val="000000"/>
                <w:sz w:val="20"/>
                <w:szCs w:val="20"/>
                <w:lang w:val="en-GB"/>
              </w:rPr>
              <w:t>88</w:t>
            </w:r>
          </w:p>
        </w:tc>
      </w:tr>
      <w:tr w:rsidR="00760B77" w:rsidRPr="00760B77" w:rsidTr="00760B77">
        <w:trPr>
          <w:jc w:val="right"/>
        </w:trPr>
        <w:tc>
          <w:tcPr>
            <w:tcW w:w="930" w:type="pct"/>
          </w:tcPr>
          <w:p w:rsidR="00F41ECA" w:rsidRPr="00760B77" w:rsidRDefault="00F41ECA" w:rsidP="00760B77">
            <w:pPr>
              <w:spacing w:after="0" w:line="240" w:lineRule="auto"/>
              <w:jc w:val="right"/>
              <w:rPr>
                <w:color w:val="000000"/>
                <w:sz w:val="20"/>
                <w:szCs w:val="20"/>
                <w:lang w:val="en-GB"/>
              </w:rPr>
            </w:pPr>
            <w:r w:rsidRPr="00760B77">
              <w:rPr>
                <w:color w:val="000000"/>
                <w:sz w:val="20"/>
                <w:szCs w:val="20"/>
                <w:lang w:val="en-GB"/>
              </w:rPr>
              <w:t>Unemployment rate</w:t>
            </w:r>
          </w:p>
        </w:tc>
        <w:tc>
          <w:tcPr>
            <w:tcW w:w="396" w:type="pct"/>
          </w:tcPr>
          <w:p w:rsidR="00F41ECA" w:rsidRPr="00760B77" w:rsidRDefault="00F41ECA" w:rsidP="00760B77">
            <w:pPr>
              <w:spacing w:after="0" w:line="240" w:lineRule="auto"/>
              <w:jc w:val="right"/>
              <w:rPr>
                <w:color w:val="000000"/>
                <w:sz w:val="20"/>
                <w:szCs w:val="20"/>
                <w:lang w:val="en-GB"/>
              </w:rPr>
            </w:pPr>
            <w:r w:rsidRPr="00760B77">
              <w:rPr>
                <w:color w:val="000000"/>
                <w:sz w:val="20"/>
                <w:szCs w:val="20"/>
                <w:lang w:val="en-GB"/>
              </w:rPr>
              <w:t>1989</w:t>
            </w:r>
          </w:p>
        </w:tc>
        <w:tc>
          <w:tcPr>
            <w:tcW w:w="656" w:type="pct"/>
          </w:tcPr>
          <w:p w:rsidR="00F41ECA" w:rsidRPr="00760B77" w:rsidRDefault="00F41ECA" w:rsidP="00760B77">
            <w:pPr>
              <w:spacing w:after="0" w:line="240" w:lineRule="auto"/>
              <w:ind w:right="145"/>
              <w:jc w:val="right"/>
              <w:rPr>
                <w:b/>
                <w:bCs/>
                <w:color w:val="000000"/>
                <w:sz w:val="20"/>
                <w:szCs w:val="20"/>
                <w:lang w:val="en-GB"/>
              </w:rPr>
            </w:pPr>
            <w:r w:rsidRPr="00760B77">
              <w:rPr>
                <w:color w:val="000000"/>
                <w:sz w:val="20"/>
                <w:szCs w:val="20"/>
                <w:lang w:val="en-GB"/>
              </w:rPr>
              <w:t>11.6</w:t>
            </w:r>
          </w:p>
        </w:tc>
        <w:tc>
          <w:tcPr>
            <w:tcW w:w="413" w:type="pct"/>
          </w:tcPr>
          <w:p w:rsidR="00F41ECA" w:rsidRPr="00760B77" w:rsidRDefault="00F41ECA" w:rsidP="00760B77">
            <w:pPr>
              <w:spacing w:after="0" w:line="240" w:lineRule="auto"/>
              <w:ind w:right="92"/>
              <w:jc w:val="right"/>
              <w:rPr>
                <w:b/>
                <w:bCs/>
                <w:color w:val="000000"/>
                <w:sz w:val="20"/>
                <w:szCs w:val="20"/>
                <w:lang w:val="en-GB"/>
              </w:rPr>
            </w:pPr>
            <w:r w:rsidRPr="00760B77">
              <w:rPr>
                <w:color w:val="000000"/>
                <w:sz w:val="20"/>
                <w:szCs w:val="20"/>
                <w:lang w:val="en-GB"/>
              </w:rPr>
              <w:t>16.2</w:t>
            </w:r>
          </w:p>
        </w:tc>
        <w:tc>
          <w:tcPr>
            <w:tcW w:w="458" w:type="pct"/>
          </w:tcPr>
          <w:p w:rsidR="00F41ECA" w:rsidRPr="00760B77" w:rsidRDefault="00F41ECA" w:rsidP="00760B77">
            <w:pPr>
              <w:spacing w:after="0" w:line="240" w:lineRule="auto"/>
              <w:ind w:right="92"/>
              <w:jc w:val="right"/>
              <w:rPr>
                <w:b/>
                <w:bCs/>
                <w:color w:val="000000"/>
                <w:sz w:val="20"/>
                <w:szCs w:val="20"/>
                <w:lang w:val="en-GB"/>
              </w:rPr>
            </w:pPr>
            <w:r w:rsidRPr="00760B77">
              <w:rPr>
                <w:color w:val="000000"/>
                <w:sz w:val="20"/>
                <w:szCs w:val="20"/>
                <w:lang w:val="en-GB"/>
              </w:rPr>
              <w:t>19.2</w:t>
            </w:r>
          </w:p>
        </w:tc>
        <w:tc>
          <w:tcPr>
            <w:tcW w:w="502" w:type="pct"/>
          </w:tcPr>
          <w:p w:rsidR="00F41ECA" w:rsidRPr="00760B77" w:rsidRDefault="00F41ECA" w:rsidP="00760B77">
            <w:pPr>
              <w:spacing w:after="0" w:line="240" w:lineRule="auto"/>
              <w:ind w:right="92"/>
              <w:jc w:val="right"/>
              <w:rPr>
                <w:b/>
                <w:bCs/>
                <w:color w:val="000000"/>
                <w:sz w:val="20"/>
                <w:szCs w:val="20"/>
                <w:lang w:val="en-GB"/>
              </w:rPr>
            </w:pPr>
            <w:r w:rsidRPr="00760B77">
              <w:rPr>
                <w:color w:val="000000"/>
                <w:sz w:val="20"/>
                <w:szCs w:val="20"/>
                <w:lang w:val="en-GB"/>
              </w:rPr>
              <w:t>6.6</w:t>
            </w:r>
          </w:p>
        </w:tc>
        <w:tc>
          <w:tcPr>
            <w:tcW w:w="651" w:type="pct"/>
          </w:tcPr>
          <w:p w:rsidR="00F41ECA" w:rsidRPr="00760B77" w:rsidRDefault="00F41ECA" w:rsidP="00760B77">
            <w:pPr>
              <w:spacing w:after="0" w:line="240" w:lineRule="auto"/>
              <w:ind w:right="136"/>
              <w:jc w:val="right"/>
              <w:rPr>
                <w:b/>
                <w:bCs/>
                <w:color w:val="000000"/>
                <w:sz w:val="20"/>
                <w:szCs w:val="20"/>
                <w:lang w:val="en-GB"/>
              </w:rPr>
            </w:pPr>
            <w:r w:rsidRPr="00760B77">
              <w:rPr>
                <w:color w:val="000000"/>
                <w:sz w:val="20"/>
                <w:szCs w:val="20"/>
                <w:lang w:val="en-GB"/>
              </w:rPr>
              <w:t>17.4</w:t>
            </w:r>
          </w:p>
        </w:tc>
        <w:tc>
          <w:tcPr>
            <w:tcW w:w="538" w:type="pct"/>
          </w:tcPr>
          <w:p w:rsidR="00F41ECA" w:rsidRPr="00760B77" w:rsidRDefault="00F41ECA" w:rsidP="00760B77">
            <w:pPr>
              <w:spacing w:after="0" w:line="240" w:lineRule="auto"/>
              <w:ind w:right="92"/>
              <w:jc w:val="right"/>
              <w:rPr>
                <w:b/>
                <w:bCs/>
                <w:color w:val="000000"/>
                <w:sz w:val="20"/>
                <w:szCs w:val="20"/>
                <w:lang w:val="en-GB"/>
              </w:rPr>
            </w:pPr>
            <w:r w:rsidRPr="00760B77">
              <w:rPr>
                <w:color w:val="000000"/>
                <w:sz w:val="20"/>
                <w:szCs w:val="20"/>
                <w:lang w:val="en-GB"/>
              </w:rPr>
              <w:t>2.8</w:t>
            </w:r>
          </w:p>
        </w:tc>
        <w:tc>
          <w:tcPr>
            <w:tcW w:w="456" w:type="pct"/>
          </w:tcPr>
          <w:p w:rsidR="00F41ECA" w:rsidRPr="00760B77" w:rsidRDefault="00F41ECA" w:rsidP="00760B77">
            <w:pPr>
              <w:spacing w:after="0" w:line="240" w:lineRule="auto"/>
              <w:ind w:right="92"/>
              <w:jc w:val="right"/>
              <w:rPr>
                <w:b/>
                <w:bCs/>
                <w:color w:val="000000"/>
                <w:sz w:val="20"/>
                <w:szCs w:val="20"/>
                <w:lang w:val="en-GB"/>
              </w:rPr>
            </w:pPr>
            <w:r w:rsidRPr="00760B77">
              <w:rPr>
                <w:color w:val="000000"/>
                <w:sz w:val="20"/>
                <w:szCs w:val="20"/>
                <w:lang w:val="en-GB"/>
              </w:rPr>
              <w:t>NA</w:t>
            </w:r>
          </w:p>
        </w:tc>
      </w:tr>
    </w:tbl>
    <w:p w:rsidR="00F41ECA" w:rsidRPr="00760B77" w:rsidRDefault="00F41ECA" w:rsidP="00760B77">
      <w:pPr>
        <w:spacing w:after="0" w:line="240" w:lineRule="auto"/>
        <w:jc w:val="both"/>
        <w:rPr>
          <w:color w:val="000000"/>
          <w:lang w:val="en-GB"/>
        </w:rPr>
      </w:pPr>
      <w:r w:rsidRPr="00760B77">
        <w:rPr>
          <w:color w:val="000000"/>
          <w:lang w:val="en-GB"/>
        </w:rPr>
        <w:t xml:space="preserve">Source: World Bank, </w:t>
      </w:r>
      <w:r w:rsidRPr="00760B77">
        <w:rPr>
          <w:i/>
          <w:color w:val="000000"/>
          <w:lang w:val="en-GB"/>
        </w:rPr>
        <w:t>The costs and benefits of Slovenian independence</w:t>
      </w:r>
      <w:r w:rsidR="00362863" w:rsidRPr="00760B77">
        <w:rPr>
          <w:color w:val="000000"/>
          <w:lang w:val="en-GB"/>
        </w:rPr>
        <w:t>, 1993</w:t>
      </w:r>
    </w:p>
    <w:p w:rsidR="00760B77" w:rsidRPr="00760B77" w:rsidRDefault="00760B77" w:rsidP="00760B77">
      <w:pPr>
        <w:spacing w:after="0" w:line="240" w:lineRule="auto"/>
        <w:jc w:val="both"/>
        <w:rPr>
          <w:color w:val="000000"/>
          <w:lang w:val="en-GB"/>
        </w:rPr>
      </w:pPr>
    </w:p>
    <w:p w:rsidR="007C28FD" w:rsidRPr="00760B77" w:rsidRDefault="00F41ECA" w:rsidP="00760B77">
      <w:pPr>
        <w:spacing w:after="0" w:line="240" w:lineRule="auto"/>
        <w:jc w:val="both"/>
        <w:rPr>
          <w:rFonts w:eastAsia="Times New Roman" w:cs="Arial"/>
          <w:lang w:val="en-GB" w:eastAsia="mk-MK"/>
        </w:rPr>
      </w:pPr>
      <w:r w:rsidRPr="00760B77">
        <w:rPr>
          <w:color w:val="000000"/>
          <w:lang w:val="en-GB"/>
        </w:rPr>
        <w:t>Out of all LDRs, only Macedonia shows some improvement measured as GNP per capita and converging with Yugoslavia’s average from 60% in 1955 to 65% in 1988 (having the highest population growth rate of 10%, second to Kosovo of 23%). The highest improvement in GNP per capita was enjoyed by Slovenia (in 1988 accounting for twice the Yugoslav average). It is also noted that Macedonia started the transition with a relatively high unemployment rate of 17.4%. The highest unemployment rate was in Montenegro (19.2%) and the lowest in Slovenia (2.8%).</w:t>
      </w:r>
    </w:p>
    <w:p w:rsidR="007C28FD" w:rsidRPr="007C28FD" w:rsidRDefault="007C28FD" w:rsidP="00760B77">
      <w:pPr>
        <w:spacing w:after="0" w:line="240" w:lineRule="auto"/>
        <w:jc w:val="both"/>
        <w:rPr>
          <w:rFonts w:eastAsia="Times New Roman" w:cs="Arial"/>
          <w:lang w:val="en-GB" w:eastAsia="mk-MK"/>
        </w:rPr>
      </w:pPr>
    </w:p>
    <w:p w:rsidR="007C28FD" w:rsidRPr="00760B77" w:rsidRDefault="00362863" w:rsidP="00760B77">
      <w:pPr>
        <w:spacing w:after="0" w:line="240" w:lineRule="auto"/>
        <w:jc w:val="both"/>
        <w:rPr>
          <w:rFonts w:eastAsia="Times New Roman" w:cs="Arial"/>
          <w:b/>
          <w:lang w:val="en-GB" w:eastAsia="mk-MK"/>
        </w:rPr>
      </w:pPr>
      <w:r w:rsidRPr="00760B77">
        <w:rPr>
          <w:rFonts w:eastAsia="Times New Roman" w:cs="Arial"/>
          <w:b/>
          <w:lang w:val="en-GB" w:eastAsia="mk-MK"/>
        </w:rPr>
        <w:t xml:space="preserve">Territorial and administrative organization </w:t>
      </w:r>
      <w:r w:rsidR="00B02E3E" w:rsidRPr="00760B77">
        <w:rPr>
          <w:rFonts w:eastAsia="Times New Roman" w:cs="Arial"/>
          <w:b/>
          <w:lang w:val="en-GB" w:eastAsia="mk-MK"/>
        </w:rPr>
        <w:t>in Macedonia</w:t>
      </w:r>
    </w:p>
    <w:p w:rsidR="00362863" w:rsidRPr="00760B77" w:rsidRDefault="00362863" w:rsidP="00760B77">
      <w:pPr>
        <w:spacing w:after="0" w:line="240" w:lineRule="auto"/>
        <w:jc w:val="both"/>
        <w:rPr>
          <w:color w:val="000000"/>
          <w:lang w:val="en-GB"/>
        </w:rPr>
      </w:pPr>
    </w:p>
    <w:p w:rsidR="00362863" w:rsidRPr="00760B77" w:rsidRDefault="00362863" w:rsidP="00760B77">
      <w:pPr>
        <w:spacing w:after="0" w:line="240" w:lineRule="auto"/>
        <w:jc w:val="both"/>
        <w:rPr>
          <w:b/>
          <w:color w:val="000000"/>
          <w:lang w:val="en-GB"/>
        </w:rPr>
      </w:pPr>
      <w:r w:rsidRPr="00760B77">
        <w:rPr>
          <w:b/>
          <w:color w:val="000000"/>
          <w:lang w:val="en-GB"/>
        </w:rPr>
        <w:t>Local government in Macedonia</w:t>
      </w:r>
    </w:p>
    <w:p w:rsidR="00760B77" w:rsidRPr="00760B77" w:rsidRDefault="00760B77" w:rsidP="00760B77">
      <w:pPr>
        <w:spacing w:after="0" w:line="240" w:lineRule="auto"/>
        <w:jc w:val="both"/>
        <w:rPr>
          <w:color w:val="000000"/>
          <w:lang w:val="en-GB"/>
        </w:rPr>
      </w:pPr>
    </w:p>
    <w:p w:rsidR="00362863" w:rsidRPr="00760B77" w:rsidRDefault="00362863" w:rsidP="00760B77">
      <w:pPr>
        <w:spacing w:after="0" w:line="240" w:lineRule="auto"/>
        <w:jc w:val="both"/>
        <w:rPr>
          <w:color w:val="000000"/>
          <w:lang w:val="en-GB"/>
        </w:rPr>
      </w:pPr>
      <w:r w:rsidRPr="00760B77">
        <w:rPr>
          <w:color w:val="000000"/>
          <w:lang w:val="en-GB"/>
        </w:rPr>
        <w:t xml:space="preserve">Macedonia has one tier local self-government. In the period from 1991 and until 1996, Macedonia inherited the territorial organisation from the former socialist system of 34 municipalities. The new Law on Territorial Organisation (Official Gazette of the Republic of Macedonia, no. 49/96) was adopted in 1996 and introduced 123 municipalities, of which 52 municipalities (42%) had fewer than 6,000 inhabitants and 46 (38%) had fewer than 5,000 inhabitants. </w:t>
      </w:r>
    </w:p>
    <w:p w:rsidR="00760B77" w:rsidRPr="00760B77" w:rsidRDefault="00760B77" w:rsidP="00760B77">
      <w:pPr>
        <w:autoSpaceDE w:val="0"/>
        <w:autoSpaceDN w:val="0"/>
        <w:adjustRightInd w:val="0"/>
        <w:spacing w:after="0" w:line="240" w:lineRule="auto"/>
        <w:jc w:val="both"/>
        <w:rPr>
          <w:color w:val="000000"/>
          <w:lang w:val="en-GB"/>
        </w:rPr>
      </w:pPr>
    </w:p>
    <w:p w:rsidR="00362863" w:rsidRPr="00760B77" w:rsidRDefault="00362863" w:rsidP="00760B77">
      <w:pPr>
        <w:autoSpaceDE w:val="0"/>
        <w:autoSpaceDN w:val="0"/>
        <w:adjustRightInd w:val="0"/>
        <w:spacing w:after="0" w:line="240" w:lineRule="auto"/>
        <w:jc w:val="both"/>
        <w:rPr>
          <w:color w:val="000000"/>
          <w:lang w:val="en-GB"/>
        </w:rPr>
      </w:pPr>
      <w:r w:rsidRPr="00760B77">
        <w:rPr>
          <w:color w:val="000000"/>
          <w:lang w:val="en-GB"/>
        </w:rPr>
        <w:t>With the new Law on Territorial Organisation (Official Gazette of the Republic of Macedonia, no. 55/04) adopted in 2004, local governments in Macedonia were restructured into 84 municipalities (15 of which have fewer than 5,000 inhabitants), with the city of Skopje as a special unit comprising 10 municipalities in accordance with a separate Law on the City of Skopje (Official Gazette of the Republic of Macedonia, no. 55/04). In 2013 one urban municipality (</w:t>
      </w:r>
      <w:proofErr w:type="spellStart"/>
      <w:r w:rsidRPr="00760B77">
        <w:rPr>
          <w:color w:val="000000"/>
          <w:lang w:val="en-GB"/>
        </w:rPr>
        <w:t>Kicevo</w:t>
      </w:r>
      <w:proofErr w:type="spellEnd"/>
      <w:r w:rsidRPr="00760B77">
        <w:rPr>
          <w:color w:val="000000"/>
          <w:lang w:val="en-GB"/>
        </w:rPr>
        <w:t>) merged with four rural municipalities (</w:t>
      </w:r>
      <w:proofErr w:type="spellStart"/>
      <w:r w:rsidRPr="00760B77">
        <w:rPr>
          <w:color w:val="000000"/>
          <w:lang w:val="en-GB"/>
        </w:rPr>
        <w:t>Zajas</w:t>
      </w:r>
      <w:proofErr w:type="spellEnd"/>
      <w:r w:rsidRPr="00760B77">
        <w:rPr>
          <w:color w:val="000000"/>
          <w:lang w:val="en-GB"/>
        </w:rPr>
        <w:t xml:space="preserve">, </w:t>
      </w:r>
      <w:proofErr w:type="spellStart"/>
      <w:r w:rsidRPr="00760B77">
        <w:rPr>
          <w:color w:val="000000"/>
          <w:lang w:val="en-GB"/>
        </w:rPr>
        <w:t>Oslomej</w:t>
      </w:r>
      <w:proofErr w:type="spellEnd"/>
      <w:r w:rsidRPr="00760B77">
        <w:rPr>
          <w:color w:val="000000"/>
          <w:lang w:val="en-GB"/>
        </w:rPr>
        <w:t xml:space="preserve">, </w:t>
      </w:r>
      <w:proofErr w:type="spellStart"/>
      <w:r w:rsidRPr="00760B77">
        <w:rPr>
          <w:color w:val="000000"/>
          <w:lang w:val="en-GB"/>
        </w:rPr>
        <w:t>Vranestica</w:t>
      </w:r>
      <w:proofErr w:type="spellEnd"/>
      <w:r w:rsidRPr="00760B77">
        <w:rPr>
          <w:color w:val="000000"/>
          <w:lang w:val="en-GB"/>
        </w:rPr>
        <w:t xml:space="preserve">, and </w:t>
      </w:r>
      <w:proofErr w:type="spellStart"/>
      <w:r w:rsidRPr="00760B77">
        <w:rPr>
          <w:color w:val="000000"/>
          <w:lang w:val="en-GB"/>
        </w:rPr>
        <w:t>Drugovo</w:t>
      </w:r>
      <w:proofErr w:type="spellEnd"/>
      <w:r w:rsidRPr="00760B77">
        <w:rPr>
          <w:color w:val="000000"/>
          <w:lang w:val="en-GB"/>
        </w:rPr>
        <w:t xml:space="preserve">) due to an ethno-political agreement taking root in the </w:t>
      </w:r>
      <w:proofErr w:type="spellStart"/>
      <w:r w:rsidRPr="00760B77">
        <w:rPr>
          <w:color w:val="000000"/>
          <w:lang w:val="en-GB"/>
        </w:rPr>
        <w:t>Ohrid</w:t>
      </w:r>
      <w:proofErr w:type="spellEnd"/>
      <w:r w:rsidRPr="00760B77">
        <w:rPr>
          <w:color w:val="000000"/>
          <w:lang w:val="en-GB"/>
        </w:rPr>
        <w:t xml:space="preserve"> Framework Agreement thus, since 2013, Macedonia has 80 municipalities and the capital City of Skopje.</w:t>
      </w:r>
    </w:p>
    <w:p w:rsidR="00760B77" w:rsidRPr="00760B77" w:rsidRDefault="00760B77" w:rsidP="00760B77">
      <w:pPr>
        <w:autoSpaceDE w:val="0"/>
        <w:autoSpaceDN w:val="0"/>
        <w:adjustRightInd w:val="0"/>
        <w:spacing w:after="0" w:line="240" w:lineRule="auto"/>
        <w:jc w:val="both"/>
        <w:rPr>
          <w:color w:val="000000"/>
          <w:lang w:val="en-GB"/>
        </w:rPr>
      </w:pPr>
    </w:p>
    <w:p w:rsidR="00362863" w:rsidRPr="00760B77" w:rsidRDefault="00362863" w:rsidP="00760B77">
      <w:pPr>
        <w:autoSpaceDE w:val="0"/>
        <w:autoSpaceDN w:val="0"/>
        <w:adjustRightInd w:val="0"/>
        <w:spacing w:after="0" w:line="240" w:lineRule="auto"/>
        <w:jc w:val="both"/>
        <w:rPr>
          <w:color w:val="000000"/>
          <w:lang w:val="en-GB"/>
        </w:rPr>
      </w:pPr>
      <w:r w:rsidRPr="00760B77">
        <w:rPr>
          <w:color w:val="000000"/>
          <w:lang w:val="en-GB"/>
        </w:rPr>
        <w:t>With the Data Envelopment Analysis-Variable Returns to Scale (DEA-VRS) and the Stochastic Frontier Analysis (SFA) we find a robust estimate that the most efficient municipalities in Macedonia are the ones with around 10,000 inhabitants (</w:t>
      </w:r>
      <w:proofErr w:type="spellStart"/>
      <w:r w:rsidRPr="00760B77">
        <w:rPr>
          <w:color w:val="000000"/>
          <w:lang w:val="en-GB"/>
        </w:rPr>
        <w:t>Nikolov</w:t>
      </w:r>
      <w:proofErr w:type="spellEnd"/>
      <w:r w:rsidRPr="00760B77">
        <w:rPr>
          <w:color w:val="000000"/>
          <w:lang w:val="en-GB"/>
        </w:rPr>
        <w:t xml:space="preserve"> 2013)</w:t>
      </w:r>
      <w:r w:rsidR="00053ABA">
        <w:rPr>
          <w:rStyle w:val="FootnoteReference"/>
          <w:color w:val="000000"/>
          <w:lang w:val="en-GB"/>
        </w:rPr>
        <w:footnoteReference w:id="4"/>
      </w:r>
      <w:r w:rsidRPr="00760B77">
        <w:rPr>
          <w:color w:val="000000"/>
          <w:lang w:val="en-GB"/>
        </w:rPr>
        <w:t xml:space="preserve">. Those municipalities that have lower numbers of inhabitants (less than 10,000) exercise increasing returns to scale and lower pure technical efficiencies because they need to provide the same amount of services as per the law for a smaller number of inhabitants compared to more populated municipalities (i.e. due to the influence of fixed costs on current expenditures). On the other hand, those municipalities that have higher numbers of inhabitants (more than 10,000) exercise decreasing returns to scale and higher pure technical efficiencies (operating closer to the frontier) because of possible agglomeration externalities. </w:t>
      </w:r>
    </w:p>
    <w:p w:rsidR="00362863" w:rsidRDefault="00362863" w:rsidP="00760B77">
      <w:pPr>
        <w:autoSpaceDE w:val="0"/>
        <w:autoSpaceDN w:val="0"/>
        <w:adjustRightInd w:val="0"/>
        <w:spacing w:after="0" w:line="240" w:lineRule="auto"/>
        <w:jc w:val="both"/>
        <w:rPr>
          <w:color w:val="000000"/>
          <w:lang w:val="en-GB"/>
        </w:rPr>
      </w:pPr>
    </w:p>
    <w:p w:rsidR="002C0F31" w:rsidRPr="00760B77" w:rsidRDefault="002C0F31" w:rsidP="00760B77">
      <w:pPr>
        <w:autoSpaceDE w:val="0"/>
        <w:autoSpaceDN w:val="0"/>
        <w:adjustRightInd w:val="0"/>
        <w:spacing w:after="0" w:line="240" w:lineRule="auto"/>
        <w:jc w:val="both"/>
        <w:rPr>
          <w:color w:val="000000"/>
          <w:lang w:val="en-GB"/>
        </w:rPr>
      </w:pPr>
    </w:p>
    <w:p w:rsidR="00362863" w:rsidRPr="00760B77" w:rsidRDefault="00362863" w:rsidP="00760B77">
      <w:pPr>
        <w:autoSpaceDE w:val="0"/>
        <w:autoSpaceDN w:val="0"/>
        <w:adjustRightInd w:val="0"/>
        <w:spacing w:after="0" w:line="240" w:lineRule="auto"/>
        <w:jc w:val="both"/>
        <w:rPr>
          <w:b/>
          <w:color w:val="000000"/>
          <w:lang w:val="en-GB"/>
        </w:rPr>
      </w:pPr>
      <w:r w:rsidRPr="00760B77">
        <w:rPr>
          <w:b/>
          <w:color w:val="000000"/>
          <w:lang w:val="en-GB"/>
        </w:rPr>
        <w:lastRenderedPageBreak/>
        <w:t>Regions in Macedonia</w:t>
      </w:r>
    </w:p>
    <w:p w:rsidR="00760B77" w:rsidRPr="00760B77" w:rsidRDefault="00760B77" w:rsidP="00760B77">
      <w:pPr>
        <w:spacing w:after="0" w:line="240" w:lineRule="auto"/>
        <w:jc w:val="both"/>
        <w:rPr>
          <w:color w:val="000000"/>
          <w:lang w:val="en-GB"/>
        </w:rPr>
      </w:pPr>
    </w:p>
    <w:p w:rsidR="00362863" w:rsidRPr="00760B77" w:rsidRDefault="00362863" w:rsidP="00760B77">
      <w:pPr>
        <w:spacing w:after="0" w:line="240" w:lineRule="auto"/>
        <w:jc w:val="both"/>
        <w:rPr>
          <w:color w:val="000000"/>
          <w:lang w:val="en-GB"/>
        </w:rPr>
      </w:pPr>
      <w:r w:rsidRPr="00760B77">
        <w:rPr>
          <w:color w:val="000000"/>
          <w:lang w:val="en-GB"/>
        </w:rPr>
        <w:t xml:space="preserve">The regional organization in Macedonia is in accordance with the NUTS III level as the NUTS I and NUTS II is </w:t>
      </w:r>
      <w:r w:rsidR="005B10D4" w:rsidRPr="00760B77">
        <w:rPr>
          <w:color w:val="000000"/>
          <w:lang w:val="en-GB"/>
        </w:rPr>
        <w:t xml:space="preserve">the </w:t>
      </w:r>
      <w:r w:rsidRPr="00760B77">
        <w:rPr>
          <w:color w:val="000000"/>
          <w:lang w:val="en-GB"/>
        </w:rPr>
        <w:t xml:space="preserve">Republic of Macedonia. In Macedonia the 8 </w:t>
      </w:r>
      <w:r w:rsidR="00B02E3E" w:rsidRPr="00760B77">
        <w:rPr>
          <w:color w:val="000000"/>
          <w:lang w:val="en-GB"/>
        </w:rPr>
        <w:t xml:space="preserve">statistical </w:t>
      </w:r>
      <w:r w:rsidRPr="00760B77">
        <w:rPr>
          <w:color w:val="000000"/>
          <w:lang w:val="en-GB"/>
        </w:rPr>
        <w:t xml:space="preserve">regions are only </w:t>
      </w:r>
      <w:r w:rsidR="00B02E3E" w:rsidRPr="00760B77">
        <w:rPr>
          <w:color w:val="000000"/>
          <w:lang w:val="en-GB"/>
        </w:rPr>
        <w:t xml:space="preserve">statistical and </w:t>
      </w:r>
      <w:r w:rsidRPr="00760B77">
        <w:rPr>
          <w:color w:val="000000"/>
          <w:lang w:val="en-GB"/>
        </w:rPr>
        <w:t xml:space="preserve">administrative and proper regulation for the regions </w:t>
      </w:r>
      <w:r w:rsidR="00B02E3E" w:rsidRPr="00760B77">
        <w:rPr>
          <w:color w:val="000000"/>
          <w:lang w:val="en-GB"/>
        </w:rPr>
        <w:t>is the L</w:t>
      </w:r>
      <w:r w:rsidRPr="00760B77">
        <w:rPr>
          <w:color w:val="000000"/>
          <w:lang w:val="en-GB"/>
        </w:rPr>
        <w:t>aw on balanced regional development (Official Gazette of the Republic of Macedonia, no. 63/07).</w:t>
      </w:r>
      <w:r w:rsidR="00B02E3E" w:rsidRPr="00760B77">
        <w:rPr>
          <w:color w:val="000000"/>
          <w:lang w:val="en-GB"/>
        </w:rPr>
        <w:t xml:space="preserve"> </w:t>
      </w:r>
      <w:r w:rsidR="005B10D4" w:rsidRPr="00760B77">
        <w:rPr>
          <w:color w:val="000000"/>
          <w:lang w:val="en-GB"/>
        </w:rPr>
        <w:t>Line ministry responsible for balanced regional development is the Ministry of local government and the Bureau for regional development operates within the ministry.</w:t>
      </w:r>
    </w:p>
    <w:p w:rsidR="00760B77" w:rsidRDefault="00760B77" w:rsidP="00760B77">
      <w:pPr>
        <w:autoSpaceDE w:val="0"/>
        <w:autoSpaceDN w:val="0"/>
        <w:adjustRightInd w:val="0"/>
        <w:spacing w:after="0" w:line="240" w:lineRule="auto"/>
        <w:jc w:val="both"/>
        <w:rPr>
          <w:color w:val="000000"/>
          <w:lang w:val="en-GB"/>
        </w:rPr>
      </w:pPr>
    </w:p>
    <w:p w:rsidR="00362863" w:rsidRPr="00760B77" w:rsidRDefault="00B02E3E" w:rsidP="00760B77">
      <w:pPr>
        <w:autoSpaceDE w:val="0"/>
        <w:autoSpaceDN w:val="0"/>
        <w:adjustRightInd w:val="0"/>
        <w:spacing w:after="0" w:line="240" w:lineRule="auto"/>
        <w:jc w:val="both"/>
        <w:rPr>
          <w:color w:val="000000"/>
          <w:lang w:val="en-GB"/>
        </w:rPr>
      </w:pPr>
      <w:r w:rsidRPr="00760B77">
        <w:rPr>
          <w:color w:val="000000"/>
          <w:lang w:val="en-GB"/>
        </w:rPr>
        <w:t xml:space="preserve">Local governments grouped at NUTS III regions in Macedonia are illustrated in the next table. </w:t>
      </w:r>
    </w:p>
    <w:p w:rsidR="00B02E3E" w:rsidRPr="00760B77" w:rsidRDefault="00B02E3E" w:rsidP="00760B77">
      <w:pPr>
        <w:autoSpaceDE w:val="0"/>
        <w:autoSpaceDN w:val="0"/>
        <w:adjustRightInd w:val="0"/>
        <w:spacing w:after="0" w:line="240" w:lineRule="auto"/>
        <w:jc w:val="both"/>
        <w:rPr>
          <w:b/>
          <w:lang w:val="en-US"/>
        </w:rPr>
      </w:pPr>
    </w:p>
    <w:p w:rsidR="00B02E3E" w:rsidRPr="00760B77" w:rsidRDefault="00B02E3E" w:rsidP="00760B77">
      <w:pPr>
        <w:autoSpaceDE w:val="0"/>
        <w:autoSpaceDN w:val="0"/>
        <w:adjustRightInd w:val="0"/>
        <w:spacing w:after="0" w:line="240" w:lineRule="auto"/>
        <w:jc w:val="both"/>
        <w:rPr>
          <w:color w:val="000000"/>
          <w:lang w:val="en-GB"/>
        </w:rPr>
      </w:pPr>
      <w:r w:rsidRPr="00760B77">
        <w:rPr>
          <w:b/>
          <w:lang w:val="en-US"/>
        </w:rPr>
        <w:t>Table</w:t>
      </w:r>
      <w:r w:rsidR="00760B77" w:rsidRPr="00760B77">
        <w:rPr>
          <w:b/>
          <w:lang w:val="en-US"/>
        </w:rPr>
        <w:t xml:space="preserve"> 2</w:t>
      </w:r>
      <w:r w:rsidRPr="00760B77">
        <w:rPr>
          <w:b/>
          <w:lang w:val="en-US"/>
        </w:rPr>
        <w:t>. Grouping of Macedonian municipalities in NUTS III regions</w:t>
      </w:r>
    </w:p>
    <w:tbl>
      <w:tblPr>
        <w:tblW w:w="760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023"/>
        <w:gridCol w:w="1946"/>
        <w:gridCol w:w="1774"/>
      </w:tblGrid>
      <w:tr w:rsidR="00B02E3E" w:rsidRPr="00760B77" w:rsidTr="00053ABA">
        <w:trPr>
          <w:trHeight w:val="300"/>
        </w:trPr>
        <w:tc>
          <w:tcPr>
            <w:tcW w:w="1857" w:type="dxa"/>
            <w:shd w:val="clear" w:color="auto" w:fill="BFBFBF" w:themeFill="background1" w:themeFillShade="BF"/>
            <w:noWrap/>
            <w:vAlign w:val="bottom"/>
            <w:hideMark/>
          </w:tcPr>
          <w:p w:rsidR="00B02E3E" w:rsidRPr="00760B77" w:rsidRDefault="00B02E3E" w:rsidP="00760B77">
            <w:pPr>
              <w:spacing w:after="0" w:line="240" w:lineRule="auto"/>
              <w:rPr>
                <w:b/>
                <w:color w:val="000000"/>
                <w:lang w:val="en-GB"/>
              </w:rPr>
            </w:pPr>
            <w:r w:rsidRPr="00760B77">
              <w:rPr>
                <w:b/>
                <w:color w:val="000000"/>
                <w:lang w:val="en-GB"/>
              </w:rPr>
              <w:t>NUTS III regions</w:t>
            </w:r>
          </w:p>
        </w:tc>
        <w:tc>
          <w:tcPr>
            <w:tcW w:w="2023" w:type="dxa"/>
            <w:shd w:val="clear" w:color="auto" w:fill="BFBFBF" w:themeFill="background1" w:themeFillShade="BF"/>
            <w:noWrap/>
            <w:vAlign w:val="bottom"/>
            <w:hideMark/>
          </w:tcPr>
          <w:p w:rsidR="00B02E3E" w:rsidRPr="00760B77" w:rsidRDefault="00B02E3E" w:rsidP="00760B77">
            <w:pPr>
              <w:spacing w:after="0" w:line="240" w:lineRule="auto"/>
              <w:rPr>
                <w:b/>
                <w:color w:val="000000"/>
                <w:lang w:val="en-GB"/>
              </w:rPr>
            </w:pPr>
            <w:r w:rsidRPr="00760B77">
              <w:rPr>
                <w:b/>
                <w:color w:val="000000"/>
                <w:lang w:val="en-GB"/>
              </w:rPr>
              <w:t>LSGs</w:t>
            </w:r>
          </w:p>
        </w:tc>
        <w:tc>
          <w:tcPr>
            <w:tcW w:w="1946" w:type="dxa"/>
            <w:shd w:val="clear" w:color="auto" w:fill="BFBFBF" w:themeFill="background1" w:themeFillShade="BF"/>
            <w:noWrap/>
            <w:vAlign w:val="bottom"/>
            <w:hideMark/>
          </w:tcPr>
          <w:p w:rsidR="00B02E3E" w:rsidRPr="00760B77" w:rsidRDefault="00B02E3E" w:rsidP="00760B77">
            <w:pPr>
              <w:spacing w:after="0" w:line="240" w:lineRule="auto"/>
              <w:rPr>
                <w:b/>
                <w:color w:val="000000"/>
                <w:lang w:val="en-GB"/>
              </w:rPr>
            </w:pPr>
            <w:r w:rsidRPr="00760B77">
              <w:rPr>
                <w:b/>
                <w:color w:val="000000"/>
                <w:lang w:val="en-GB"/>
              </w:rPr>
              <w:t>NUTS III regions</w:t>
            </w:r>
          </w:p>
        </w:tc>
        <w:tc>
          <w:tcPr>
            <w:tcW w:w="1774" w:type="dxa"/>
            <w:shd w:val="clear" w:color="auto" w:fill="BFBFBF" w:themeFill="background1" w:themeFillShade="BF"/>
            <w:noWrap/>
            <w:vAlign w:val="bottom"/>
            <w:hideMark/>
          </w:tcPr>
          <w:p w:rsidR="00B02E3E" w:rsidRPr="00760B77" w:rsidRDefault="00B02E3E" w:rsidP="00760B77">
            <w:pPr>
              <w:spacing w:after="0" w:line="240" w:lineRule="auto"/>
              <w:rPr>
                <w:b/>
                <w:color w:val="000000"/>
                <w:lang w:val="en-GB"/>
              </w:rPr>
            </w:pPr>
            <w:r w:rsidRPr="00760B77">
              <w:rPr>
                <w:b/>
                <w:color w:val="000000"/>
                <w:lang w:val="en-GB"/>
              </w:rPr>
              <w:t>LSGs</w:t>
            </w:r>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r w:rsidRPr="00760B77">
              <w:rPr>
                <w:color w:val="000000"/>
                <w:lang w:val="en-GB"/>
              </w:rPr>
              <w:t>Vardar</w:t>
            </w: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Pelagonia</w:t>
            </w:r>
            <w:proofErr w:type="spellEnd"/>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r w:rsidRPr="00760B77">
              <w:rPr>
                <w:color w:val="000000"/>
                <w:lang w:val="en-GB"/>
              </w:rPr>
              <w:t>Veles</w:t>
            </w:r>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r w:rsidRPr="00760B77">
              <w:rPr>
                <w:color w:val="000000"/>
                <w:lang w:val="en-GB"/>
              </w:rPr>
              <w:t>Bitola</w:t>
            </w:r>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Gradsko</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Demir</w:t>
            </w:r>
            <w:proofErr w:type="spellEnd"/>
            <w:r w:rsidRPr="00760B77">
              <w:rPr>
                <w:color w:val="000000"/>
                <w:lang w:val="en-GB"/>
              </w:rPr>
              <w:t xml:space="preserve"> </w:t>
            </w:r>
            <w:proofErr w:type="spellStart"/>
            <w:r w:rsidRPr="00760B77">
              <w:rPr>
                <w:color w:val="000000"/>
                <w:lang w:val="en-GB"/>
              </w:rPr>
              <w:t>Hisar</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Demir</w:t>
            </w:r>
            <w:proofErr w:type="spellEnd"/>
            <w:r w:rsidRPr="00760B77">
              <w:rPr>
                <w:color w:val="000000"/>
                <w:lang w:val="en-GB"/>
              </w:rPr>
              <w:t xml:space="preserve"> </w:t>
            </w:r>
            <w:proofErr w:type="spellStart"/>
            <w:r w:rsidRPr="00760B77">
              <w:rPr>
                <w:color w:val="000000"/>
                <w:lang w:val="en-GB"/>
              </w:rPr>
              <w:t>Kapija</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Dolneni</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Kavadarci</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Krivogastani</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Lozovo</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Krusevo</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Negotino</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Mogila</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Rosoman</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Novaci</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Sveti</w:t>
            </w:r>
            <w:proofErr w:type="spellEnd"/>
            <w:r w:rsidRPr="00760B77">
              <w:rPr>
                <w:color w:val="000000"/>
                <w:lang w:val="en-GB"/>
              </w:rPr>
              <w:t xml:space="preserve"> Nikole</w:t>
            </w:r>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Prilep</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Chashka</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r w:rsidRPr="00760B77">
              <w:rPr>
                <w:color w:val="000000"/>
                <w:lang w:val="en-GB"/>
              </w:rPr>
              <w:t>Resen</w:t>
            </w:r>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r w:rsidRPr="00760B77">
              <w:rPr>
                <w:color w:val="000000"/>
                <w:lang w:val="en-GB"/>
              </w:rPr>
              <w:t>East</w:t>
            </w: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Polog</w:t>
            </w:r>
            <w:proofErr w:type="spellEnd"/>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Berovo</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Bogovinje</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Vinica</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Brvenica</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Delchevo</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Vrapciste</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Zrnovci</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Gostivar</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Karbinci</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Zelino</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Kochani</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Jegunovce</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Makedonska</w:t>
            </w:r>
            <w:proofErr w:type="spellEnd"/>
            <w:r w:rsidRPr="00760B77">
              <w:rPr>
                <w:color w:val="000000"/>
                <w:lang w:val="en-GB"/>
              </w:rPr>
              <w:t xml:space="preserve"> </w:t>
            </w:r>
            <w:proofErr w:type="spellStart"/>
            <w:r w:rsidRPr="00760B77">
              <w:rPr>
                <w:color w:val="000000"/>
                <w:lang w:val="en-GB"/>
              </w:rPr>
              <w:t>Kamenica</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Mavrovo</w:t>
            </w:r>
            <w:proofErr w:type="spellEnd"/>
            <w:r w:rsidRPr="00760B77">
              <w:rPr>
                <w:color w:val="000000"/>
                <w:lang w:val="en-GB"/>
              </w:rPr>
              <w:t xml:space="preserve"> and </w:t>
            </w:r>
            <w:proofErr w:type="spellStart"/>
            <w:r w:rsidRPr="00760B77">
              <w:rPr>
                <w:color w:val="000000"/>
                <w:lang w:val="en-GB"/>
              </w:rPr>
              <w:t>Rostusa</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Pehcevo</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Tearce</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Probistip</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r w:rsidRPr="00760B77">
              <w:rPr>
                <w:color w:val="000000"/>
                <w:lang w:val="en-GB"/>
              </w:rPr>
              <w:t>Tetovo</w:t>
            </w:r>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Oblesevo-Cesinovo</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r w:rsidRPr="00760B77">
              <w:rPr>
                <w:color w:val="000000"/>
                <w:lang w:val="en-GB"/>
              </w:rPr>
              <w:t>Northeast</w:t>
            </w: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Stip</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Kratovo</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r w:rsidRPr="00760B77">
              <w:rPr>
                <w:color w:val="000000"/>
                <w:lang w:val="en-GB"/>
              </w:rPr>
              <w:t>Southwest</w:t>
            </w: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Kriva</w:t>
            </w:r>
            <w:proofErr w:type="spellEnd"/>
            <w:r w:rsidRPr="00760B77">
              <w:rPr>
                <w:color w:val="000000"/>
                <w:lang w:val="en-GB"/>
              </w:rPr>
              <w:t xml:space="preserve"> </w:t>
            </w:r>
            <w:proofErr w:type="spellStart"/>
            <w:r w:rsidRPr="00760B77">
              <w:rPr>
                <w:color w:val="000000"/>
                <w:lang w:val="en-GB"/>
              </w:rPr>
              <w:t>Palanka</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Vevcani</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Kumanovo</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highlight w:val="yellow"/>
                <w:lang w:val="en-GB"/>
              </w:rPr>
              <w:t>Vranestica</w:t>
            </w:r>
            <w:proofErr w:type="spellEnd"/>
            <w:r w:rsidRPr="00760B77">
              <w:rPr>
                <w:color w:val="000000"/>
                <w:lang w:val="en-GB"/>
              </w:rPr>
              <w:t>*</w:t>
            </w:r>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Lipkovo</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r w:rsidRPr="00760B77">
              <w:rPr>
                <w:color w:val="000000"/>
                <w:lang w:val="en-GB"/>
              </w:rPr>
              <w:t>Debar</w:t>
            </w:r>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Rankovce</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Debarca</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Staro</w:t>
            </w:r>
            <w:proofErr w:type="spellEnd"/>
            <w:r w:rsidRPr="00760B77">
              <w:rPr>
                <w:color w:val="000000"/>
                <w:lang w:val="en-GB"/>
              </w:rPr>
              <w:t xml:space="preserve"> </w:t>
            </w:r>
            <w:proofErr w:type="spellStart"/>
            <w:r w:rsidRPr="00760B77">
              <w:rPr>
                <w:color w:val="000000"/>
                <w:lang w:val="en-GB"/>
              </w:rPr>
              <w:t>Nagoricane</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highlight w:val="yellow"/>
                <w:lang w:val="en-GB"/>
              </w:rPr>
            </w:pPr>
            <w:proofErr w:type="spellStart"/>
            <w:r w:rsidRPr="00760B77">
              <w:rPr>
                <w:color w:val="000000"/>
                <w:highlight w:val="yellow"/>
                <w:lang w:val="en-GB"/>
              </w:rPr>
              <w:t>Drugovo</w:t>
            </w:r>
            <w:proofErr w:type="spellEnd"/>
            <w:r w:rsidRPr="00760B77">
              <w:rPr>
                <w:color w:val="000000"/>
                <w:highlight w:val="yellow"/>
                <w:lang w:val="en-GB"/>
              </w:rPr>
              <w:t>*</w:t>
            </w:r>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r w:rsidRPr="00760B77">
              <w:rPr>
                <w:color w:val="000000"/>
                <w:lang w:val="en-GB"/>
              </w:rPr>
              <w:t>Skopje</w:t>
            </w: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highlight w:val="yellow"/>
                <w:lang w:val="en-GB"/>
              </w:rPr>
            </w:pPr>
            <w:proofErr w:type="spellStart"/>
            <w:r w:rsidRPr="00760B77">
              <w:rPr>
                <w:color w:val="000000"/>
                <w:highlight w:val="yellow"/>
                <w:lang w:val="en-GB"/>
              </w:rPr>
              <w:t>Zajas</w:t>
            </w:r>
            <w:proofErr w:type="spellEnd"/>
            <w:r w:rsidRPr="00760B77">
              <w:rPr>
                <w:color w:val="000000"/>
                <w:highlight w:val="yellow"/>
                <w:lang w:val="en-GB"/>
              </w:rPr>
              <w:t>*</w:t>
            </w:r>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Aerodrom</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highlight w:val="yellow"/>
                <w:lang w:val="en-GB"/>
              </w:rPr>
            </w:pPr>
            <w:proofErr w:type="spellStart"/>
            <w:r w:rsidRPr="00760B77">
              <w:rPr>
                <w:color w:val="000000"/>
                <w:highlight w:val="yellow"/>
                <w:lang w:val="en-GB"/>
              </w:rPr>
              <w:t>Kicevo</w:t>
            </w:r>
            <w:proofErr w:type="spellEnd"/>
            <w:r w:rsidRPr="00760B77">
              <w:rPr>
                <w:color w:val="000000"/>
                <w:highlight w:val="yellow"/>
                <w:lang w:val="en-GB"/>
              </w:rPr>
              <w:t>*</w:t>
            </w:r>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Aracinovo</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Makedonski</w:t>
            </w:r>
            <w:proofErr w:type="spellEnd"/>
            <w:r w:rsidRPr="00760B77">
              <w:rPr>
                <w:color w:val="000000"/>
                <w:lang w:val="en-GB"/>
              </w:rPr>
              <w:t xml:space="preserve"> </w:t>
            </w:r>
            <w:proofErr w:type="spellStart"/>
            <w:r w:rsidRPr="00760B77">
              <w:rPr>
                <w:color w:val="000000"/>
                <w:lang w:val="en-GB"/>
              </w:rPr>
              <w:t>Brod</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Butel</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highlight w:val="yellow"/>
                <w:lang w:val="en-GB"/>
              </w:rPr>
              <w:t>Oslomej</w:t>
            </w:r>
            <w:proofErr w:type="spellEnd"/>
            <w:r w:rsidRPr="00760B77">
              <w:rPr>
                <w:color w:val="000000"/>
                <w:lang w:val="en-GB"/>
              </w:rPr>
              <w:t>*</w:t>
            </w:r>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Gazi</w:t>
            </w:r>
            <w:proofErr w:type="spellEnd"/>
            <w:r w:rsidRPr="00760B77">
              <w:rPr>
                <w:color w:val="000000"/>
                <w:lang w:val="en-GB"/>
              </w:rPr>
              <w:t xml:space="preserve"> Baba</w:t>
            </w:r>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Ohrid</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Gorce</w:t>
            </w:r>
            <w:proofErr w:type="spellEnd"/>
            <w:r w:rsidRPr="00760B77">
              <w:rPr>
                <w:color w:val="000000"/>
                <w:lang w:val="en-GB"/>
              </w:rPr>
              <w:t xml:space="preserve"> </w:t>
            </w:r>
            <w:proofErr w:type="spellStart"/>
            <w:r w:rsidRPr="00760B77">
              <w:rPr>
                <w:color w:val="000000"/>
                <w:lang w:val="en-GB"/>
              </w:rPr>
              <w:t>Petrov</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Plasnica</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Zelenikovo</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Struga</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Ilinden</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Centar</w:t>
            </w:r>
            <w:proofErr w:type="spellEnd"/>
            <w:r w:rsidRPr="00760B77">
              <w:rPr>
                <w:color w:val="000000"/>
                <w:lang w:val="en-GB"/>
              </w:rPr>
              <w:t xml:space="preserve"> </w:t>
            </w:r>
            <w:proofErr w:type="spellStart"/>
            <w:r w:rsidRPr="00760B77">
              <w:rPr>
                <w:color w:val="000000"/>
                <w:lang w:val="en-GB"/>
              </w:rPr>
              <w:t>Zupa</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Karpos</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r w:rsidRPr="00760B77">
              <w:rPr>
                <w:color w:val="000000"/>
                <w:lang w:val="en-GB"/>
              </w:rPr>
              <w:t>Southeast</w:t>
            </w: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Kisela</w:t>
            </w:r>
            <w:proofErr w:type="spellEnd"/>
            <w:r w:rsidRPr="00760B77">
              <w:rPr>
                <w:color w:val="000000"/>
                <w:lang w:val="en-GB"/>
              </w:rPr>
              <w:t xml:space="preserve"> </w:t>
            </w:r>
            <w:proofErr w:type="spellStart"/>
            <w:r w:rsidRPr="00760B77">
              <w:rPr>
                <w:color w:val="000000"/>
                <w:lang w:val="en-GB"/>
              </w:rPr>
              <w:t>Voda</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Bogdanci</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Petrovec</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Bosilovo</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760B77" w:rsidP="00760B77">
            <w:pPr>
              <w:spacing w:after="0" w:line="240" w:lineRule="auto"/>
              <w:rPr>
                <w:color w:val="000000"/>
                <w:lang w:val="en-GB"/>
              </w:rPr>
            </w:pPr>
            <w:proofErr w:type="spellStart"/>
            <w:r w:rsidRPr="00760B77">
              <w:rPr>
                <w:color w:val="000000"/>
                <w:lang w:val="en-GB"/>
              </w:rPr>
              <w:t>S</w:t>
            </w:r>
            <w:r w:rsidR="00B02E3E" w:rsidRPr="00760B77">
              <w:rPr>
                <w:color w:val="000000"/>
                <w:lang w:val="en-GB"/>
              </w:rPr>
              <w:t>araj</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Valandovo</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Sopiste</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Vasilevo</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Studenicani</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Gevgelija</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Centar</w:t>
            </w:r>
            <w:proofErr w:type="spellEnd"/>
            <w:r w:rsidRPr="00760B77">
              <w:rPr>
                <w:color w:val="000000"/>
                <w:lang w:val="en-GB"/>
              </w:rPr>
              <w:t xml:space="preserve">  </w:t>
            </w:r>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Dojran</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Cair</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Konce</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Cucer</w:t>
            </w:r>
            <w:proofErr w:type="spellEnd"/>
            <w:r w:rsidRPr="00760B77">
              <w:rPr>
                <w:color w:val="000000"/>
                <w:lang w:val="en-GB"/>
              </w:rPr>
              <w:t xml:space="preserve"> </w:t>
            </w:r>
            <w:proofErr w:type="spellStart"/>
            <w:r w:rsidRPr="00760B77">
              <w:rPr>
                <w:color w:val="000000"/>
                <w:lang w:val="en-GB"/>
              </w:rPr>
              <w:t>Sandevo</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r w:rsidRPr="00760B77">
              <w:rPr>
                <w:color w:val="000000"/>
                <w:lang w:val="en-GB"/>
              </w:rPr>
              <w:t xml:space="preserve">Novo </w:t>
            </w:r>
            <w:proofErr w:type="spellStart"/>
            <w:r w:rsidRPr="00760B77">
              <w:rPr>
                <w:color w:val="000000"/>
                <w:lang w:val="en-GB"/>
              </w:rPr>
              <w:t>Selo</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Suto</w:t>
            </w:r>
            <w:proofErr w:type="spellEnd"/>
            <w:r w:rsidRPr="00760B77">
              <w:rPr>
                <w:color w:val="000000"/>
                <w:lang w:val="en-GB"/>
              </w:rPr>
              <w:t xml:space="preserve"> </w:t>
            </w:r>
            <w:proofErr w:type="spellStart"/>
            <w:r w:rsidRPr="00760B77">
              <w:rPr>
                <w:color w:val="000000"/>
                <w:lang w:val="en-GB"/>
              </w:rPr>
              <w:t>Orizari</w:t>
            </w:r>
            <w:proofErr w:type="spellEnd"/>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Radovis</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
        </w:tc>
      </w:tr>
      <w:tr w:rsidR="00B02E3E" w:rsidRPr="00760B77" w:rsidTr="00053ABA">
        <w:trPr>
          <w:trHeight w:val="300"/>
        </w:trPr>
        <w:tc>
          <w:tcPr>
            <w:tcW w:w="1857" w:type="dxa"/>
            <w:shd w:val="clear" w:color="auto" w:fill="auto"/>
            <w:noWrap/>
            <w:vAlign w:val="bottom"/>
            <w:hideMark/>
          </w:tcPr>
          <w:p w:rsidR="00B02E3E" w:rsidRPr="00760B77" w:rsidRDefault="00B02E3E" w:rsidP="00760B77">
            <w:pPr>
              <w:spacing w:after="0" w:line="240" w:lineRule="auto"/>
              <w:rPr>
                <w:color w:val="000000"/>
                <w:lang w:val="en-GB"/>
              </w:rPr>
            </w:pPr>
          </w:p>
        </w:tc>
        <w:tc>
          <w:tcPr>
            <w:tcW w:w="2023" w:type="dxa"/>
            <w:shd w:val="clear" w:color="auto" w:fill="auto"/>
            <w:noWrap/>
            <w:vAlign w:val="bottom"/>
            <w:hideMark/>
          </w:tcPr>
          <w:p w:rsidR="00B02E3E" w:rsidRPr="00760B77" w:rsidRDefault="00B02E3E" w:rsidP="00760B77">
            <w:pPr>
              <w:spacing w:after="0" w:line="240" w:lineRule="auto"/>
              <w:rPr>
                <w:color w:val="000000"/>
                <w:lang w:val="en-GB"/>
              </w:rPr>
            </w:pPr>
            <w:proofErr w:type="spellStart"/>
            <w:r w:rsidRPr="00760B77">
              <w:rPr>
                <w:color w:val="000000"/>
                <w:lang w:val="en-GB"/>
              </w:rPr>
              <w:t>Strumica</w:t>
            </w:r>
            <w:proofErr w:type="spellEnd"/>
          </w:p>
        </w:tc>
        <w:tc>
          <w:tcPr>
            <w:tcW w:w="1946" w:type="dxa"/>
            <w:shd w:val="clear" w:color="auto" w:fill="auto"/>
            <w:noWrap/>
            <w:vAlign w:val="bottom"/>
            <w:hideMark/>
          </w:tcPr>
          <w:p w:rsidR="00B02E3E" w:rsidRPr="00760B77" w:rsidRDefault="00B02E3E" w:rsidP="00760B77">
            <w:pPr>
              <w:spacing w:after="0" w:line="240" w:lineRule="auto"/>
              <w:rPr>
                <w:color w:val="000000"/>
                <w:lang w:val="en-GB"/>
              </w:rPr>
            </w:pPr>
          </w:p>
        </w:tc>
        <w:tc>
          <w:tcPr>
            <w:tcW w:w="1774" w:type="dxa"/>
            <w:shd w:val="clear" w:color="auto" w:fill="auto"/>
            <w:noWrap/>
            <w:vAlign w:val="bottom"/>
            <w:hideMark/>
          </w:tcPr>
          <w:p w:rsidR="00B02E3E" w:rsidRPr="00760B77" w:rsidRDefault="00B02E3E" w:rsidP="00760B77">
            <w:pPr>
              <w:spacing w:after="0" w:line="240" w:lineRule="auto"/>
              <w:rPr>
                <w:color w:val="000000"/>
                <w:lang w:val="en-GB"/>
              </w:rPr>
            </w:pPr>
          </w:p>
        </w:tc>
      </w:tr>
    </w:tbl>
    <w:p w:rsidR="00B02E3E" w:rsidRPr="00760B77" w:rsidRDefault="00B02E3E" w:rsidP="00760B77">
      <w:pPr>
        <w:spacing w:after="0" w:line="240" w:lineRule="auto"/>
        <w:rPr>
          <w:lang w:val="en-US"/>
        </w:rPr>
      </w:pPr>
      <w:r w:rsidRPr="00760B77">
        <w:rPr>
          <w:lang w:val="en-US"/>
        </w:rPr>
        <w:t xml:space="preserve">*In 2014 </w:t>
      </w:r>
      <w:proofErr w:type="spellStart"/>
      <w:r w:rsidRPr="00760B77">
        <w:rPr>
          <w:lang w:val="en-US"/>
        </w:rPr>
        <w:t>Kicevo</w:t>
      </w:r>
      <w:proofErr w:type="spellEnd"/>
      <w:r w:rsidRPr="00760B77">
        <w:rPr>
          <w:lang w:val="en-US"/>
        </w:rPr>
        <w:t xml:space="preserve"> municipality merged with the surrounding rural municipalities (</w:t>
      </w:r>
      <w:proofErr w:type="spellStart"/>
      <w:r w:rsidRPr="00760B77">
        <w:rPr>
          <w:lang w:val="en-US"/>
        </w:rPr>
        <w:t>Zajas</w:t>
      </w:r>
      <w:proofErr w:type="spellEnd"/>
      <w:r w:rsidRPr="00760B77">
        <w:rPr>
          <w:lang w:val="en-US"/>
        </w:rPr>
        <w:t xml:space="preserve">, </w:t>
      </w:r>
      <w:proofErr w:type="spellStart"/>
      <w:r w:rsidRPr="00760B77">
        <w:rPr>
          <w:lang w:val="en-US"/>
        </w:rPr>
        <w:t>Oslomej</w:t>
      </w:r>
      <w:proofErr w:type="spellEnd"/>
      <w:r w:rsidRPr="00760B77">
        <w:rPr>
          <w:lang w:val="en-US"/>
        </w:rPr>
        <w:t xml:space="preserve">, </w:t>
      </w:r>
      <w:proofErr w:type="spellStart"/>
      <w:r w:rsidRPr="00760B77">
        <w:rPr>
          <w:lang w:val="en-US"/>
        </w:rPr>
        <w:t>Vranestica</w:t>
      </w:r>
      <w:proofErr w:type="spellEnd"/>
      <w:r w:rsidRPr="00760B77">
        <w:rPr>
          <w:lang w:val="en-US"/>
        </w:rPr>
        <w:t xml:space="preserve"> and </w:t>
      </w:r>
      <w:proofErr w:type="spellStart"/>
      <w:r w:rsidRPr="00760B77">
        <w:rPr>
          <w:lang w:val="en-US"/>
        </w:rPr>
        <w:t>Drugovo</w:t>
      </w:r>
      <w:proofErr w:type="spellEnd"/>
      <w:r w:rsidRPr="00760B77">
        <w:rPr>
          <w:lang w:val="en-US"/>
        </w:rPr>
        <w:t xml:space="preserve">) into one bigger </w:t>
      </w:r>
      <w:proofErr w:type="spellStart"/>
      <w:r w:rsidRPr="00760B77">
        <w:rPr>
          <w:lang w:val="en-US"/>
        </w:rPr>
        <w:t>Kicevo</w:t>
      </w:r>
      <w:proofErr w:type="spellEnd"/>
      <w:r w:rsidRPr="00760B77">
        <w:rPr>
          <w:lang w:val="en-US"/>
        </w:rPr>
        <w:t xml:space="preserve"> municipality.</w:t>
      </w:r>
    </w:p>
    <w:p w:rsidR="00760B77" w:rsidRPr="00760B77" w:rsidRDefault="00760B77" w:rsidP="00760B77">
      <w:pPr>
        <w:autoSpaceDE w:val="0"/>
        <w:autoSpaceDN w:val="0"/>
        <w:adjustRightInd w:val="0"/>
        <w:spacing w:after="0" w:line="240" w:lineRule="auto"/>
        <w:jc w:val="both"/>
        <w:rPr>
          <w:color w:val="000000"/>
          <w:lang w:val="en-GB"/>
        </w:rPr>
        <w:sectPr w:rsidR="00760B77" w:rsidRPr="00760B77">
          <w:headerReference w:type="default" r:id="rId9"/>
          <w:footerReference w:type="default" r:id="rId10"/>
          <w:pgSz w:w="11906" w:h="16838"/>
          <w:pgMar w:top="1440" w:right="1440" w:bottom="1440" w:left="1440" w:header="708" w:footer="708" w:gutter="0"/>
          <w:cols w:space="708"/>
          <w:docGrid w:linePitch="360"/>
        </w:sectPr>
      </w:pPr>
    </w:p>
    <w:p w:rsidR="00362863" w:rsidRPr="00760B77" w:rsidRDefault="00C5717E" w:rsidP="00760B77">
      <w:pPr>
        <w:autoSpaceDE w:val="0"/>
        <w:autoSpaceDN w:val="0"/>
        <w:adjustRightInd w:val="0"/>
        <w:spacing w:after="0" w:line="240" w:lineRule="auto"/>
        <w:jc w:val="both"/>
        <w:rPr>
          <w:color w:val="000000"/>
          <w:lang w:val="en-GB"/>
        </w:rPr>
      </w:pPr>
      <w:r w:rsidRPr="00760B77">
        <w:rPr>
          <w:color w:val="000000"/>
          <w:lang w:val="en-GB"/>
        </w:rPr>
        <w:lastRenderedPageBreak/>
        <w:t>Demographic and economic snapshot of Macedonian NUTS III regions is illustrated in the next table.</w:t>
      </w:r>
    </w:p>
    <w:p w:rsidR="00C5717E" w:rsidRPr="00760B77" w:rsidRDefault="00C5717E" w:rsidP="00760B77">
      <w:pPr>
        <w:autoSpaceDE w:val="0"/>
        <w:autoSpaceDN w:val="0"/>
        <w:adjustRightInd w:val="0"/>
        <w:spacing w:after="0" w:line="240" w:lineRule="auto"/>
        <w:jc w:val="both"/>
        <w:rPr>
          <w:color w:val="000000"/>
          <w:lang w:val="en-GB"/>
        </w:rPr>
      </w:pPr>
    </w:p>
    <w:p w:rsidR="00C5717E" w:rsidRPr="00896B33" w:rsidRDefault="00C5717E" w:rsidP="00760B77">
      <w:pPr>
        <w:autoSpaceDE w:val="0"/>
        <w:autoSpaceDN w:val="0"/>
        <w:adjustRightInd w:val="0"/>
        <w:spacing w:after="0" w:line="240" w:lineRule="auto"/>
        <w:jc w:val="both"/>
        <w:rPr>
          <w:b/>
          <w:color w:val="000000"/>
          <w:lang w:val="en-GB"/>
        </w:rPr>
      </w:pPr>
      <w:bookmarkStart w:id="1" w:name="_GoBack"/>
      <w:r w:rsidRPr="00896B33">
        <w:rPr>
          <w:b/>
          <w:color w:val="000000"/>
          <w:lang w:val="en-GB"/>
        </w:rPr>
        <w:t>Table</w:t>
      </w:r>
      <w:r w:rsidR="00896B33" w:rsidRPr="00896B33">
        <w:rPr>
          <w:b/>
          <w:color w:val="000000"/>
          <w:lang w:val="en-GB"/>
        </w:rPr>
        <w:t xml:space="preserve"> 3</w:t>
      </w:r>
      <w:r w:rsidRPr="00896B33">
        <w:rPr>
          <w:b/>
          <w:color w:val="000000"/>
          <w:lang w:val="en-GB"/>
        </w:rPr>
        <w:t>. Macedonian regions demographic and economic data</w:t>
      </w:r>
    </w:p>
    <w:tbl>
      <w:tblPr>
        <w:tblW w:w="12560" w:type="dxa"/>
        <w:tblInd w:w="-5" w:type="dxa"/>
        <w:tblLook w:val="04A0" w:firstRow="1" w:lastRow="0" w:firstColumn="1" w:lastColumn="0" w:noHBand="0" w:noVBand="1"/>
      </w:tblPr>
      <w:tblGrid>
        <w:gridCol w:w="3920"/>
        <w:gridCol w:w="1216"/>
        <w:gridCol w:w="960"/>
        <w:gridCol w:w="960"/>
        <w:gridCol w:w="1165"/>
        <w:gridCol w:w="1113"/>
        <w:gridCol w:w="1087"/>
        <w:gridCol w:w="960"/>
        <w:gridCol w:w="1115"/>
        <w:gridCol w:w="960"/>
      </w:tblGrid>
      <w:tr w:rsidR="00C5717E" w:rsidRPr="00C5717E" w:rsidTr="00C5717E">
        <w:trPr>
          <w:trHeight w:val="300"/>
        </w:trPr>
        <w:tc>
          <w:tcPr>
            <w:tcW w:w="3920" w:type="dxa"/>
            <w:tcBorders>
              <w:top w:val="single" w:sz="4" w:space="0" w:color="auto"/>
              <w:left w:val="single" w:sz="4" w:space="0" w:color="auto"/>
              <w:bottom w:val="single" w:sz="4" w:space="0" w:color="auto"/>
              <w:right w:val="single" w:sz="4" w:space="0" w:color="auto"/>
            </w:tcBorders>
            <w:shd w:val="clear" w:color="auto" w:fill="auto"/>
            <w:noWrap/>
            <w:hideMark/>
          </w:tcPr>
          <w:bookmarkEnd w:id="1"/>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Region data from 2015</w:t>
            </w:r>
          </w:p>
        </w:tc>
        <w:tc>
          <w:tcPr>
            <w:tcW w:w="960" w:type="dxa"/>
            <w:tcBorders>
              <w:top w:val="single" w:sz="4" w:space="0" w:color="auto"/>
              <w:left w:val="nil"/>
              <w:bottom w:val="single" w:sz="4" w:space="0" w:color="auto"/>
              <w:right w:val="single" w:sz="4" w:space="0" w:color="auto"/>
            </w:tcBorders>
            <w:shd w:val="clear" w:color="auto" w:fill="auto"/>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Macedonia</w:t>
            </w:r>
          </w:p>
        </w:tc>
        <w:tc>
          <w:tcPr>
            <w:tcW w:w="960" w:type="dxa"/>
            <w:tcBorders>
              <w:top w:val="single" w:sz="4" w:space="0" w:color="auto"/>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Vardar</w:t>
            </w:r>
          </w:p>
        </w:tc>
        <w:tc>
          <w:tcPr>
            <w:tcW w:w="960" w:type="dxa"/>
            <w:tcBorders>
              <w:top w:val="single" w:sz="4" w:space="0" w:color="auto"/>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East</w:t>
            </w:r>
          </w:p>
        </w:tc>
        <w:tc>
          <w:tcPr>
            <w:tcW w:w="960" w:type="dxa"/>
            <w:tcBorders>
              <w:top w:val="single" w:sz="4" w:space="0" w:color="auto"/>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Southwest</w:t>
            </w:r>
          </w:p>
        </w:tc>
        <w:tc>
          <w:tcPr>
            <w:tcW w:w="960" w:type="dxa"/>
            <w:tcBorders>
              <w:top w:val="single" w:sz="4" w:space="0" w:color="auto"/>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Southeast</w:t>
            </w:r>
          </w:p>
        </w:tc>
        <w:tc>
          <w:tcPr>
            <w:tcW w:w="960" w:type="dxa"/>
            <w:tcBorders>
              <w:top w:val="single" w:sz="4" w:space="0" w:color="auto"/>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proofErr w:type="spellStart"/>
            <w:r w:rsidRPr="00C5717E">
              <w:rPr>
                <w:rFonts w:eastAsia="Times New Roman" w:cs="Times New Roman"/>
                <w:color w:val="000000"/>
                <w:lang w:val="en-GB" w:eastAsia="mk-MK"/>
              </w:rPr>
              <w:t>Pelagonia</w:t>
            </w:r>
            <w:proofErr w:type="spellEnd"/>
          </w:p>
        </w:tc>
        <w:tc>
          <w:tcPr>
            <w:tcW w:w="960" w:type="dxa"/>
            <w:tcBorders>
              <w:top w:val="single" w:sz="4" w:space="0" w:color="auto"/>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proofErr w:type="spellStart"/>
            <w:r w:rsidRPr="00C5717E">
              <w:rPr>
                <w:rFonts w:eastAsia="Times New Roman" w:cs="Times New Roman"/>
                <w:color w:val="000000"/>
                <w:lang w:val="en-GB" w:eastAsia="mk-MK"/>
              </w:rPr>
              <w:t>Polog</w:t>
            </w:r>
            <w:proofErr w:type="spellEnd"/>
          </w:p>
        </w:tc>
        <w:tc>
          <w:tcPr>
            <w:tcW w:w="960" w:type="dxa"/>
            <w:tcBorders>
              <w:top w:val="single" w:sz="4" w:space="0" w:color="auto"/>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Northeast</w:t>
            </w:r>
          </w:p>
        </w:tc>
        <w:tc>
          <w:tcPr>
            <w:tcW w:w="960" w:type="dxa"/>
            <w:tcBorders>
              <w:top w:val="single" w:sz="4" w:space="0" w:color="auto"/>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Skopje</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 </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2015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2015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2015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2015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2015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2015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2015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2015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2015</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Population</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2,070,226</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153,094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177,145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219,891</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173,560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231,137</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319,916</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176,204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619,279</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Male</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1,037,060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77,784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89,565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110,330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87,755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115,869</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161,005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89,730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305,022</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Female</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1,033,166</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75,310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87,580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109,561</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85,805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115,268</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158,911</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86,474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314,257</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Density per km2</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83.1</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37.9</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50.1</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65.8</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63.4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49.0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132.4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76.3</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341.6</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Population age 0-14 (%)</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16.7</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15.8</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14.3</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15.4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16.4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15.4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17.0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17.5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18.3</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Population age more than 65 (%)</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12.8</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14.7</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14.5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11.3</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13.2</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15.7</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9.0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11.9</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13.7</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Working age population</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1,676,659</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125,279</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147,425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181,293</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141,025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187,900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261,113</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141,719</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490,906</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Activity rate</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57.0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60.7</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62.5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54.9</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68.4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66.3</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47.1</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54.0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54.4</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760B77" w:rsidP="00760B77">
            <w:pPr>
              <w:spacing w:after="0" w:line="240" w:lineRule="auto"/>
              <w:jc w:val="right"/>
              <w:rPr>
                <w:rFonts w:eastAsia="Times New Roman" w:cs="Times New Roman"/>
                <w:color w:val="000000"/>
                <w:lang w:val="en-GB" w:eastAsia="mk-MK"/>
              </w:rPr>
            </w:pPr>
            <w:r w:rsidRPr="00760B77">
              <w:rPr>
                <w:rFonts w:eastAsia="Times New Roman" w:cs="Times New Roman"/>
                <w:color w:val="000000"/>
                <w:lang w:val="en-GB" w:eastAsia="mk-MK"/>
              </w:rPr>
              <w:t>Employment</w:t>
            </w:r>
            <w:r w:rsidR="00C5717E" w:rsidRPr="00C5717E">
              <w:rPr>
                <w:rFonts w:eastAsia="Times New Roman" w:cs="Times New Roman"/>
                <w:color w:val="000000"/>
                <w:lang w:val="en-GB" w:eastAsia="mk-MK"/>
              </w:rPr>
              <w:t xml:space="preserve"> rate</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42.1</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45.8</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51.6</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36.2</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56.9</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52.2</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33.2</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30.6</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40.4</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Unemployment rate</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26.1</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24.5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17.5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33.9</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16.7</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21.1</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29.6</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43.2</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25.7</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Unemployment rate male</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26.7</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23.5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20.7</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32.5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16.2</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21.7</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27.6</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41.7</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28.1</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Unemployment rate female</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25.1</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25.9</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13.4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36.5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17.4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20.5</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35.6</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45.7</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22.1</w:t>
            </w:r>
          </w:p>
        </w:tc>
      </w:tr>
      <w:tr w:rsidR="00C5717E" w:rsidRPr="00C5717E" w:rsidTr="00C5717E">
        <w:trPr>
          <w:trHeight w:val="288"/>
        </w:trPr>
        <w:tc>
          <w:tcPr>
            <w:tcW w:w="3920" w:type="dxa"/>
            <w:tcBorders>
              <w:top w:val="nil"/>
              <w:left w:val="single" w:sz="4" w:space="0" w:color="auto"/>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GDP per capita (2013) in Euro</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3,954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4,371</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3,689</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2,906</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4,334</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3,956</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1,930</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2,463</w:t>
            </w:r>
          </w:p>
        </w:tc>
        <w:tc>
          <w:tcPr>
            <w:tcW w:w="960" w:type="dxa"/>
            <w:tcBorders>
              <w:top w:val="nil"/>
              <w:left w:val="nil"/>
              <w:bottom w:val="single" w:sz="4" w:space="0" w:color="auto"/>
              <w:right w:val="single" w:sz="4" w:space="0" w:color="auto"/>
            </w:tcBorders>
            <w:shd w:val="clear" w:color="auto" w:fill="auto"/>
            <w:noWrap/>
            <w:hideMark/>
          </w:tcPr>
          <w:p w:rsidR="00C5717E" w:rsidRPr="00C5717E" w:rsidRDefault="00C5717E" w:rsidP="00760B77">
            <w:pPr>
              <w:spacing w:after="0" w:line="240" w:lineRule="auto"/>
              <w:jc w:val="right"/>
              <w:rPr>
                <w:rFonts w:eastAsia="Times New Roman" w:cs="Times New Roman"/>
                <w:color w:val="000000"/>
                <w:lang w:val="en-GB" w:eastAsia="mk-MK"/>
              </w:rPr>
            </w:pPr>
            <w:r w:rsidRPr="00C5717E">
              <w:rPr>
                <w:rFonts w:eastAsia="Times New Roman" w:cs="Times New Roman"/>
                <w:color w:val="000000"/>
                <w:lang w:val="en-GB" w:eastAsia="mk-MK"/>
              </w:rPr>
              <w:t>5,673</w:t>
            </w:r>
          </w:p>
        </w:tc>
      </w:tr>
    </w:tbl>
    <w:p w:rsidR="00C5717E" w:rsidRPr="00760B77" w:rsidRDefault="00760B77" w:rsidP="00760B77">
      <w:pPr>
        <w:autoSpaceDE w:val="0"/>
        <w:autoSpaceDN w:val="0"/>
        <w:adjustRightInd w:val="0"/>
        <w:spacing w:after="0" w:line="240" w:lineRule="auto"/>
        <w:jc w:val="both"/>
        <w:rPr>
          <w:color w:val="000000"/>
          <w:lang w:val="en-GB"/>
        </w:rPr>
      </w:pPr>
      <w:r>
        <w:rPr>
          <w:color w:val="000000"/>
          <w:lang w:val="en-GB"/>
        </w:rPr>
        <w:t xml:space="preserve">Source: State statistical office. Regional data: </w:t>
      </w:r>
      <w:hyperlink r:id="rId11" w:history="1">
        <w:r w:rsidRPr="000532A1">
          <w:rPr>
            <w:rStyle w:val="Hyperlink"/>
            <w:lang w:val="en-GB"/>
          </w:rPr>
          <w:t>http://www.stat.gov.mk/PrikaziPublikacija_1.aspx?rbr=675</w:t>
        </w:r>
      </w:hyperlink>
      <w:r>
        <w:rPr>
          <w:color w:val="000000"/>
          <w:lang w:val="en-GB"/>
        </w:rPr>
        <w:t xml:space="preserve">. </w:t>
      </w:r>
    </w:p>
    <w:p w:rsidR="00D5222D" w:rsidRDefault="00D5222D" w:rsidP="00760B77">
      <w:pPr>
        <w:spacing w:after="0" w:line="240" w:lineRule="auto"/>
        <w:rPr>
          <w:color w:val="000000"/>
          <w:lang w:val="en-GB"/>
        </w:rPr>
      </w:pPr>
    </w:p>
    <w:p w:rsidR="00D5222D" w:rsidRPr="00EA5523" w:rsidRDefault="00D5222D" w:rsidP="00D5222D">
      <w:pPr>
        <w:spacing w:after="0" w:line="240" w:lineRule="auto"/>
        <w:jc w:val="both"/>
        <w:rPr>
          <w:b/>
          <w:color w:val="000000"/>
          <w:lang w:val="en-GB"/>
        </w:rPr>
      </w:pPr>
      <w:r w:rsidRPr="00EA5523">
        <w:rPr>
          <w:b/>
          <w:color w:val="000000"/>
          <w:lang w:val="en-GB"/>
        </w:rPr>
        <w:t>Useful</w:t>
      </w:r>
      <w:r>
        <w:rPr>
          <w:b/>
          <w:color w:val="000000"/>
          <w:lang w:val="en-GB"/>
        </w:rPr>
        <w:t xml:space="preserve"> links</w:t>
      </w:r>
    </w:p>
    <w:p w:rsidR="00D5222D" w:rsidRDefault="00D5222D" w:rsidP="00D5222D">
      <w:pPr>
        <w:spacing w:after="0" w:line="240" w:lineRule="auto"/>
        <w:jc w:val="both"/>
        <w:rPr>
          <w:color w:val="000000"/>
          <w:lang w:val="en-GB"/>
        </w:rPr>
      </w:pPr>
    </w:p>
    <w:p w:rsidR="00D5222D" w:rsidRDefault="00D5222D" w:rsidP="00D5222D">
      <w:pPr>
        <w:spacing w:after="0" w:line="240" w:lineRule="auto"/>
        <w:jc w:val="both"/>
        <w:rPr>
          <w:color w:val="000000"/>
          <w:lang w:val="en-GB"/>
        </w:rPr>
      </w:pPr>
      <w:r>
        <w:rPr>
          <w:color w:val="000000"/>
          <w:lang w:val="en-GB"/>
        </w:rPr>
        <w:t xml:space="preserve">Macedonian government: </w:t>
      </w:r>
      <w:hyperlink r:id="rId12" w:history="1">
        <w:r w:rsidRPr="000532A1">
          <w:rPr>
            <w:rStyle w:val="Hyperlink"/>
            <w:lang w:val="en-GB"/>
          </w:rPr>
          <w:t>http://vlada.mk/?language=en-gb</w:t>
        </w:r>
      </w:hyperlink>
      <w:r>
        <w:rPr>
          <w:color w:val="000000"/>
          <w:lang w:val="en-GB"/>
        </w:rPr>
        <w:t xml:space="preserve"> </w:t>
      </w:r>
    </w:p>
    <w:p w:rsidR="00D5222D" w:rsidRDefault="00D5222D" w:rsidP="00D5222D">
      <w:pPr>
        <w:spacing w:after="0" w:line="240" w:lineRule="auto"/>
        <w:jc w:val="both"/>
        <w:rPr>
          <w:color w:val="000000"/>
          <w:lang w:val="en-GB"/>
        </w:rPr>
      </w:pPr>
      <w:r>
        <w:rPr>
          <w:color w:val="000000"/>
          <w:lang w:val="en-GB"/>
        </w:rPr>
        <w:t xml:space="preserve">Ministry of local government: </w:t>
      </w:r>
      <w:hyperlink r:id="rId13" w:history="1">
        <w:r w:rsidRPr="000532A1">
          <w:rPr>
            <w:rStyle w:val="Hyperlink"/>
            <w:lang w:val="en-GB"/>
          </w:rPr>
          <w:t>http://mls.gov.mk/</w:t>
        </w:r>
      </w:hyperlink>
      <w:r>
        <w:rPr>
          <w:color w:val="000000"/>
          <w:lang w:val="en-GB"/>
        </w:rPr>
        <w:t xml:space="preserve"> </w:t>
      </w:r>
    </w:p>
    <w:p w:rsidR="00D5222D" w:rsidRDefault="00D5222D" w:rsidP="00D5222D">
      <w:pPr>
        <w:spacing w:after="0" w:line="240" w:lineRule="auto"/>
        <w:jc w:val="both"/>
        <w:rPr>
          <w:color w:val="000000"/>
          <w:lang w:val="en-GB"/>
        </w:rPr>
      </w:pPr>
      <w:r>
        <w:rPr>
          <w:color w:val="000000"/>
          <w:lang w:val="en-GB"/>
        </w:rPr>
        <w:t xml:space="preserve">State statistical office: </w:t>
      </w:r>
      <w:hyperlink r:id="rId14" w:history="1">
        <w:r w:rsidRPr="000532A1">
          <w:rPr>
            <w:rStyle w:val="Hyperlink"/>
            <w:lang w:val="en-GB"/>
          </w:rPr>
          <w:t>http://www.stat.gov.mk/</w:t>
        </w:r>
      </w:hyperlink>
      <w:r>
        <w:rPr>
          <w:color w:val="000000"/>
          <w:lang w:val="en-GB"/>
        </w:rPr>
        <w:t xml:space="preserve">  </w:t>
      </w:r>
    </w:p>
    <w:p w:rsidR="00D5222D" w:rsidRDefault="00D5222D" w:rsidP="00D5222D">
      <w:pPr>
        <w:spacing w:after="0" w:line="240" w:lineRule="auto"/>
        <w:jc w:val="both"/>
        <w:rPr>
          <w:color w:val="000000"/>
          <w:lang w:val="en-GB"/>
        </w:rPr>
      </w:pPr>
      <w:r>
        <w:rPr>
          <w:color w:val="000000"/>
          <w:lang w:val="en-GB"/>
        </w:rPr>
        <w:t xml:space="preserve">Bureau for regional development: </w:t>
      </w:r>
      <w:hyperlink r:id="rId15" w:history="1">
        <w:r w:rsidRPr="000532A1">
          <w:rPr>
            <w:rStyle w:val="Hyperlink"/>
            <w:lang w:val="en-GB"/>
          </w:rPr>
          <w:t>http://brr.gov.mk/mk/%d0%bf%d0%be%d1%87%d0%b5%d1%82%d0%bd%d0%b0/</w:t>
        </w:r>
      </w:hyperlink>
      <w:r>
        <w:rPr>
          <w:color w:val="000000"/>
          <w:lang w:val="en-GB"/>
        </w:rPr>
        <w:t xml:space="preserve"> </w:t>
      </w:r>
    </w:p>
    <w:p w:rsidR="002C0F31" w:rsidRDefault="002C0F31" w:rsidP="00D5222D">
      <w:pPr>
        <w:spacing w:after="0" w:line="240" w:lineRule="auto"/>
        <w:jc w:val="both"/>
        <w:rPr>
          <w:color w:val="000000"/>
          <w:lang w:val="en-GB"/>
        </w:rPr>
      </w:pPr>
      <w:proofErr w:type="spellStart"/>
      <w:r>
        <w:rPr>
          <w:color w:val="000000"/>
          <w:lang w:val="en-GB"/>
        </w:rPr>
        <w:t>Center</w:t>
      </w:r>
      <w:proofErr w:type="spellEnd"/>
      <w:r>
        <w:rPr>
          <w:color w:val="000000"/>
          <w:lang w:val="en-GB"/>
        </w:rPr>
        <w:t xml:space="preserve"> for economic analyses: </w:t>
      </w:r>
      <w:hyperlink r:id="rId16" w:history="1">
        <w:r w:rsidRPr="00C231F0">
          <w:rPr>
            <w:rStyle w:val="Hyperlink"/>
            <w:lang w:val="en-GB"/>
          </w:rPr>
          <w:t>http://cea.org.mk/?lang=en</w:t>
        </w:r>
      </w:hyperlink>
      <w:r>
        <w:rPr>
          <w:color w:val="000000"/>
          <w:lang w:val="en-GB"/>
        </w:rPr>
        <w:t xml:space="preserve"> </w:t>
      </w:r>
    </w:p>
    <w:p w:rsidR="00760B77" w:rsidRPr="00760B77" w:rsidRDefault="00760B77" w:rsidP="00760B77">
      <w:pPr>
        <w:spacing w:after="0" w:line="240" w:lineRule="auto"/>
        <w:rPr>
          <w:color w:val="000000"/>
          <w:lang w:val="en-GB"/>
        </w:rPr>
      </w:pPr>
      <w:r w:rsidRPr="00760B77">
        <w:rPr>
          <w:color w:val="000000"/>
          <w:lang w:val="en-GB"/>
        </w:rPr>
        <w:br w:type="page"/>
      </w:r>
    </w:p>
    <w:p w:rsidR="00760B77" w:rsidRPr="00760B77" w:rsidRDefault="00760B77" w:rsidP="00760B77">
      <w:pPr>
        <w:spacing w:after="0" w:line="240" w:lineRule="auto"/>
        <w:jc w:val="both"/>
        <w:rPr>
          <w:color w:val="000000"/>
          <w:lang w:val="en-GB"/>
        </w:rPr>
        <w:sectPr w:rsidR="00760B77" w:rsidRPr="00760B77" w:rsidSect="00760B77">
          <w:pgSz w:w="16838" w:h="11906" w:orient="landscape"/>
          <w:pgMar w:top="1440" w:right="1440" w:bottom="1440" w:left="1440" w:header="709" w:footer="709" w:gutter="0"/>
          <w:cols w:space="708"/>
          <w:docGrid w:linePitch="360"/>
        </w:sectPr>
      </w:pPr>
    </w:p>
    <w:p w:rsidR="00D5222D" w:rsidRDefault="00D5222D" w:rsidP="00EA5523">
      <w:pPr>
        <w:spacing w:after="0" w:line="240" w:lineRule="auto"/>
        <w:jc w:val="both"/>
        <w:rPr>
          <w:color w:val="000000"/>
          <w:lang w:val="en-GB"/>
        </w:rPr>
      </w:pPr>
    </w:p>
    <w:p w:rsidR="00D5222D" w:rsidRPr="00D5222D" w:rsidRDefault="00D5222D" w:rsidP="00EA5523">
      <w:pPr>
        <w:spacing w:after="0" w:line="240" w:lineRule="auto"/>
        <w:jc w:val="both"/>
        <w:rPr>
          <w:b/>
          <w:color w:val="000000"/>
          <w:lang w:val="en-GB"/>
        </w:rPr>
      </w:pPr>
      <w:r w:rsidRPr="00D5222D">
        <w:rPr>
          <w:b/>
          <w:color w:val="000000"/>
          <w:lang w:val="en-GB"/>
        </w:rPr>
        <w:t xml:space="preserve">Map of Macedonia and NUTS III regions </w:t>
      </w:r>
    </w:p>
    <w:p w:rsidR="00D5222D" w:rsidRDefault="00D5222D" w:rsidP="00EA5523">
      <w:pPr>
        <w:spacing w:after="0" w:line="240" w:lineRule="auto"/>
        <w:jc w:val="both"/>
        <w:rPr>
          <w:color w:val="000000"/>
          <w:lang w:val="en-GB"/>
        </w:rPr>
      </w:pPr>
    </w:p>
    <w:p w:rsidR="00D5222D" w:rsidRDefault="00D5222D" w:rsidP="00D5222D">
      <w:pPr>
        <w:spacing w:after="0" w:line="240" w:lineRule="auto"/>
        <w:jc w:val="center"/>
        <w:rPr>
          <w:color w:val="000000"/>
          <w:lang w:val="en-GB"/>
        </w:rPr>
      </w:pPr>
      <w:r>
        <w:rPr>
          <w:noProof/>
          <w:color w:val="000000"/>
          <w:lang w:eastAsia="mk-MK"/>
        </w:rPr>
        <w:drawing>
          <wp:inline distT="0" distB="0" distL="0" distR="0">
            <wp:extent cx="4762500" cy="2924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ski_regioni_i_opstini2-fill-500x307.png"/>
                    <pic:cNvPicPr/>
                  </pic:nvPicPr>
                  <pic:blipFill>
                    <a:blip r:embed="rId17">
                      <a:extLst>
                        <a:ext uri="{28A0092B-C50C-407E-A947-70E740481C1C}">
                          <a14:useLocalDpi xmlns:a14="http://schemas.microsoft.com/office/drawing/2010/main" val="0"/>
                        </a:ext>
                      </a:extLst>
                    </a:blip>
                    <a:stretch>
                      <a:fillRect/>
                    </a:stretch>
                  </pic:blipFill>
                  <pic:spPr>
                    <a:xfrm>
                      <a:off x="0" y="0"/>
                      <a:ext cx="4762500" cy="2924175"/>
                    </a:xfrm>
                    <a:prstGeom prst="rect">
                      <a:avLst/>
                    </a:prstGeom>
                  </pic:spPr>
                </pic:pic>
              </a:graphicData>
            </a:graphic>
          </wp:inline>
        </w:drawing>
      </w:r>
    </w:p>
    <w:p w:rsidR="00D5222D" w:rsidRPr="00760B77" w:rsidRDefault="002C0F31" w:rsidP="002C0F31">
      <w:pPr>
        <w:spacing w:after="0" w:line="240" w:lineRule="auto"/>
        <w:jc w:val="center"/>
        <w:rPr>
          <w:color w:val="000000"/>
          <w:lang w:val="en-GB"/>
        </w:rPr>
      </w:pPr>
      <w:r>
        <w:rPr>
          <w:color w:val="000000"/>
          <w:lang w:val="en-GB"/>
        </w:rPr>
        <w:t xml:space="preserve">Source: </w:t>
      </w:r>
      <w:hyperlink r:id="rId18" w:history="1">
        <w:r w:rsidRPr="000532A1">
          <w:rPr>
            <w:rStyle w:val="Hyperlink"/>
            <w:lang w:val="en-GB"/>
          </w:rPr>
          <w:t>http://brr.gov.mk/mk/%d0%bf%d0%be%d1%87%d0%b5%d1%82%d0%bd%d0%b0/</w:t>
        </w:r>
      </w:hyperlink>
      <w:r>
        <w:rPr>
          <w:rStyle w:val="Hyperlink"/>
          <w:lang w:val="en-GB"/>
        </w:rPr>
        <w:t xml:space="preserve"> </w:t>
      </w:r>
    </w:p>
    <w:sectPr w:rsidR="00D5222D" w:rsidRPr="00760B77" w:rsidSect="00760B7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6E8" w:rsidRDefault="001516E8" w:rsidP="00F41ECA">
      <w:pPr>
        <w:spacing w:after="0" w:line="240" w:lineRule="auto"/>
      </w:pPr>
      <w:r>
        <w:separator/>
      </w:r>
    </w:p>
  </w:endnote>
  <w:endnote w:type="continuationSeparator" w:id="0">
    <w:p w:rsidR="001516E8" w:rsidRDefault="001516E8" w:rsidP="00F4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ABA" w:rsidRPr="002C0F31" w:rsidRDefault="002C0F31" w:rsidP="002C0F31">
    <w:pPr>
      <w:pStyle w:val="Footer"/>
      <w:jc w:val="center"/>
      <w:rPr>
        <w:rFonts w:ascii="Times New Roman" w:hAnsi="Times New Roman"/>
        <w:sz w:val="20"/>
      </w:rPr>
    </w:pPr>
    <w:r>
      <w:rPr>
        <w:rFonts w:ascii="Times New Roman" w:hAnsi="Times New Roman"/>
        <w:b/>
        <w:sz w:val="20"/>
      </w:rPr>
      <w:t xml:space="preserve">CEA </w:t>
    </w:r>
    <w:r>
      <w:rPr>
        <w:rFonts w:ascii="Times New Roman" w:hAnsi="Times New Roman"/>
        <w:sz w:val="20"/>
      </w:rPr>
      <w:t xml:space="preserve">| </w:t>
    </w:r>
    <w:proofErr w:type="spellStart"/>
    <w:r>
      <w:rPr>
        <w:rFonts w:ascii="Times New Roman" w:hAnsi="Times New Roman"/>
        <w:b/>
        <w:sz w:val="20"/>
      </w:rPr>
      <w:t>Center</w:t>
    </w:r>
    <w:proofErr w:type="spellEnd"/>
    <w:r>
      <w:rPr>
        <w:rFonts w:ascii="Times New Roman" w:hAnsi="Times New Roman"/>
        <w:b/>
        <w:sz w:val="20"/>
      </w:rPr>
      <w:t xml:space="preserve"> </w:t>
    </w:r>
    <w:proofErr w:type="spellStart"/>
    <w:r>
      <w:rPr>
        <w:rFonts w:ascii="Times New Roman" w:hAnsi="Times New Roman"/>
        <w:b/>
        <w:sz w:val="20"/>
      </w:rPr>
      <w:t>for</w:t>
    </w:r>
    <w:proofErr w:type="spellEnd"/>
    <w:r>
      <w:rPr>
        <w:rFonts w:ascii="Times New Roman" w:hAnsi="Times New Roman"/>
        <w:b/>
        <w:sz w:val="20"/>
      </w:rPr>
      <w:t xml:space="preserve"> </w:t>
    </w:r>
    <w:proofErr w:type="spellStart"/>
    <w:r>
      <w:rPr>
        <w:rFonts w:ascii="Times New Roman" w:hAnsi="Times New Roman"/>
        <w:b/>
        <w:sz w:val="20"/>
      </w:rPr>
      <w:t>Economic</w:t>
    </w:r>
    <w:proofErr w:type="spellEnd"/>
    <w:r>
      <w:rPr>
        <w:rFonts w:ascii="Times New Roman" w:hAnsi="Times New Roman"/>
        <w:b/>
        <w:sz w:val="20"/>
      </w:rPr>
      <w:t xml:space="preserve"> </w:t>
    </w:r>
    <w:proofErr w:type="spellStart"/>
    <w:r>
      <w:rPr>
        <w:rFonts w:ascii="Times New Roman" w:hAnsi="Times New Roman"/>
        <w:b/>
        <w:sz w:val="20"/>
      </w:rPr>
      <w:t>Analyses</w:t>
    </w:r>
    <w:proofErr w:type="spellEnd"/>
    <w:r>
      <w:rPr>
        <w:rFonts w:ascii="Times New Roman" w:hAnsi="Times New Roman"/>
        <w:b/>
        <w:sz w:val="20"/>
      </w:rPr>
      <w:t xml:space="preserve"> </w:t>
    </w:r>
    <w:r>
      <w:rPr>
        <w:rFonts w:ascii="Times New Roman" w:hAnsi="Times New Roman"/>
        <w:sz w:val="20"/>
      </w:rPr>
      <w:t>|</w:t>
    </w:r>
    <w:r>
      <w:rPr>
        <w:rFonts w:ascii="Times New Roman" w:hAnsi="Times New Roman"/>
        <w:b/>
        <w:sz w:val="20"/>
      </w:rPr>
      <w:t xml:space="preserve"> </w:t>
    </w:r>
    <w:proofErr w:type="spellStart"/>
    <w:r>
      <w:rPr>
        <w:rFonts w:ascii="Times New Roman" w:hAnsi="Times New Roman"/>
        <w:sz w:val="20"/>
      </w:rPr>
      <w:t>Blvd</w:t>
    </w:r>
    <w:proofErr w:type="spellEnd"/>
    <w:r>
      <w:rPr>
        <w:rFonts w:ascii="Times New Roman" w:hAnsi="Times New Roman"/>
        <w:sz w:val="20"/>
      </w:rPr>
      <w:t xml:space="preserve">. </w:t>
    </w:r>
    <w:proofErr w:type="spellStart"/>
    <w:r>
      <w:rPr>
        <w:rFonts w:ascii="Times New Roman" w:hAnsi="Times New Roman"/>
        <w:sz w:val="20"/>
      </w:rPr>
      <w:t>Jane</w:t>
    </w:r>
    <w:proofErr w:type="spellEnd"/>
    <w:r>
      <w:rPr>
        <w:rFonts w:ascii="Times New Roman" w:hAnsi="Times New Roman"/>
        <w:sz w:val="20"/>
      </w:rPr>
      <w:t xml:space="preserve"> </w:t>
    </w:r>
    <w:proofErr w:type="spellStart"/>
    <w:r>
      <w:rPr>
        <w:rFonts w:ascii="Times New Roman" w:hAnsi="Times New Roman"/>
        <w:sz w:val="20"/>
      </w:rPr>
      <w:t>Sandanski</w:t>
    </w:r>
    <w:proofErr w:type="spellEnd"/>
    <w:r>
      <w:rPr>
        <w:rFonts w:ascii="Times New Roman" w:hAnsi="Times New Roman"/>
        <w:sz w:val="20"/>
      </w:rPr>
      <w:t xml:space="preserve"> 63/3 |1000 </w:t>
    </w:r>
    <w:proofErr w:type="spellStart"/>
    <w:r>
      <w:rPr>
        <w:rFonts w:ascii="Times New Roman" w:hAnsi="Times New Roman"/>
        <w:sz w:val="20"/>
      </w:rPr>
      <w:t>Skopje</w:t>
    </w:r>
    <w:proofErr w:type="spellEnd"/>
    <w:r>
      <w:rPr>
        <w:rFonts w:ascii="Times New Roman" w:hAnsi="Times New Roman"/>
        <w:sz w:val="20"/>
      </w:rPr>
      <w:t xml:space="preserve"> | </w:t>
    </w:r>
    <w:proofErr w:type="spellStart"/>
    <w:r>
      <w:rPr>
        <w:rFonts w:ascii="Times New Roman" w:hAnsi="Times New Roman"/>
        <w:sz w:val="20"/>
      </w:rPr>
      <w:t>Macedonia</w:t>
    </w:r>
    <w:proofErr w:type="spellEnd"/>
    <w:r>
      <w:rPr>
        <w:rFonts w:ascii="Times New Roman" w:hAnsi="Times New Roman"/>
        <w:sz w:val="20"/>
      </w:rPr>
      <w:t xml:space="preserve"> </w:t>
    </w:r>
    <w:hyperlink r:id="rId1" w:history="1">
      <w:r>
        <w:rPr>
          <w:rStyle w:val="Hyperlink"/>
          <w:rFonts w:ascii="Times New Roman" w:hAnsi="Times New Roman"/>
          <w:sz w:val="20"/>
        </w:rPr>
        <w:t>www.cea.org.mk</w:t>
      </w:r>
    </w:hyperlink>
    <w:r>
      <w:rPr>
        <w:rFonts w:ascii="Times New Roman" w:hAnsi="Times New Roman"/>
        <w:sz w:val="20"/>
      </w:rPr>
      <w:t xml:space="preserve"> | </w:t>
    </w:r>
    <w:proofErr w:type="spellStart"/>
    <w:r>
      <w:rPr>
        <w:rFonts w:ascii="Times New Roman" w:hAnsi="Times New Roman"/>
        <w:sz w:val="20"/>
      </w:rPr>
      <w:t>mail</w:t>
    </w:r>
    <w:proofErr w:type="spellEnd"/>
    <w:r>
      <w:rPr>
        <w:rFonts w:ascii="Times New Roman" w:hAnsi="Times New Roman"/>
        <w:sz w:val="20"/>
      </w:rPr>
      <w:t xml:space="preserve">: </w:t>
    </w:r>
    <w:hyperlink r:id="rId2" w:history="1">
      <w:r>
        <w:rPr>
          <w:rStyle w:val="Hyperlink"/>
          <w:rFonts w:ascii="Times New Roman" w:hAnsi="Times New Roman"/>
          <w:sz w:val="20"/>
        </w:rPr>
        <w:t>info@cea.org.mk</w:t>
      </w:r>
    </w:hyperlink>
    <w:r>
      <w:rPr>
        <w:rFonts w:ascii="Times New Roman" w:hAnsi="Times New Roman"/>
        <w:sz w:val="20"/>
      </w:rPr>
      <w:t xml:space="preserve"> |</w:t>
    </w:r>
    <w:proofErr w:type="spellStart"/>
    <w:r>
      <w:rPr>
        <w:rFonts w:ascii="Times New Roman" w:hAnsi="Times New Roman"/>
        <w:sz w:val="20"/>
      </w:rPr>
      <w:t>Tel</w:t>
    </w:r>
    <w:proofErr w:type="spellEnd"/>
    <w:r>
      <w:rPr>
        <w:rFonts w:ascii="Times New Roman" w:hAnsi="Times New Roman"/>
        <w:sz w:val="20"/>
      </w:rPr>
      <w:t>/</w:t>
    </w:r>
    <w:proofErr w:type="spellStart"/>
    <w:r>
      <w:rPr>
        <w:rFonts w:ascii="Times New Roman" w:hAnsi="Times New Roman"/>
        <w:sz w:val="20"/>
      </w:rPr>
      <w:t>fax</w:t>
    </w:r>
    <w:proofErr w:type="spellEnd"/>
    <w:r>
      <w:rPr>
        <w:rFonts w:ascii="Times New Roman" w:hAnsi="Times New Roman"/>
        <w:sz w:val="20"/>
      </w:rPr>
      <w:t>: +389 (0)2 24 44 766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6E8" w:rsidRDefault="001516E8" w:rsidP="00F41ECA">
      <w:pPr>
        <w:spacing w:after="0" w:line="240" w:lineRule="auto"/>
      </w:pPr>
      <w:r>
        <w:separator/>
      </w:r>
    </w:p>
  </w:footnote>
  <w:footnote w:type="continuationSeparator" w:id="0">
    <w:p w:rsidR="001516E8" w:rsidRDefault="001516E8" w:rsidP="00F41ECA">
      <w:pPr>
        <w:spacing w:after="0" w:line="240" w:lineRule="auto"/>
      </w:pPr>
      <w:r>
        <w:continuationSeparator/>
      </w:r>
    </w:p>
  </w:footnote>
  <w:footnote w:id="1">
    <w:p w:rsidR="00053ABA" w:rsidRPr="007264F1" w:rsidRDefault="00053ABA" w:rsidP="00F41ECA">
      <w:pPr>
        <w:pStyle w:val="FootnoteText"/>
        <w:jc w:val="both"/>
      </w:pPr>
      <w:r w:rsidRPr="007264F1">
        <w:rPr>
          <w:rStyle w:val="FootnoteReference"/>
        </w:rPr>
        <w:footnoteRef/>
      </w:r>
      <w:r w:rsidRPr="007264F1">
        <w:t xml:space="preserve"> </w:t>
      </w:r>
      <w:r>
        <w:t>Under</w:t>
      </w:r>
      <w:r w:rsidRPr="007264F1">
        <w:t xml:space="preserve"> a federal law from 1965, </w:t>
      </w:r>
      <w:r>
        <w:t xml:space="preserve">the </w:t>
      </w:r>
      <w:r w:rsidRPr="007264F1">
        <w:t>LDR</w:t>
      </w:r>
      <w:r>
        <w:t>s</w:t>
      </w:r>
      <w:r w:rsidRPr="007264F1">
        <w:t xml:space="preserve"> in Yugoslavia included: Bosnia and Herzegovina, Macedonia, Monte</w:t>
      </w:r>
      <w:r>
        <w:t>n</w:t>
      </w:r>
      <w:r w:rsidRPr="007264F1">
        <w:t xml:space="preserve">egro and Kosovo and </w:t>
      </w:r>
      <w:proofErr w:type="spellStart"/>
      <w:r w:rsidRPr="007264F1">
        <w:t>Metohija</w:t>
      </w:r>
      <w:proofErr w:type="spellEnd"/>
      <w:r>
        <w:t>,</w:t>
      </w:r>
      <w:r w:rsidRPr="007264F1">
        <w:t xml:space="preserve"> comprising 40% of the Yugoslav territory and 30% of </w:t>
      </w:r>
      <w:r>
        <w:t xml:space="preserve">the </w:t>
      </w:r>
      <w:r w:rsidRPr="007264F1">
        <w:t xml:space="preserve">Yugoslav population. </w:t>
      </w:r>
    </w:p>
  </w:footnote>
  <w:footnote w:id="2">
    <w:p w:rsidR="00053ABA" w:rsidRPr="002C0F31" w:rsidRDefault="00053ABA" w:rsidP="002C0F31">
      <w:pPr>
        <w:pStyle w:val="NormalWeb"/>
        <w:spacing w:before="0" w:beforeAutospacing="0" w:after="0" w:afterAutospacing="0" w:line="240" w:lineRule="auto"/>
        <w:jc w:val="both"/>
        <w:rPr>
          <w:rFonts w:ascii="Times New Roman" w:hAnsi="Times New Roman"/>
          <w:color w:val="auto"/>
          <w:sz w:val="24"/>
          <w:szCs w:val="24"/>
        </w:rPr>
      </w:pPr>
      <w:r>
        <w:rPr>
          <w:rStyle w:val="FootnoteReference"/>
        </w:rPr>
        <w:footnoteRef/>
      </w:r>
      <w:r>
        <w:rPr>
          <w:rFonts w:ascii="Times New Roman" w:hAnsi="Times New Roman"/>
          <w:color w:val="auto"/>
          <w:sz w:val="20"/>
          <w:szCs w:val="20"/>
        </w:rPr>
        <w:t xml:space="preserve"> </w:t>
      </w:r>
      <w:proofErr w:type="spellStart"/>
      <w:r w:rsidRPr="00053ABA">
        <w:rPr>
          <w:rFonts w:ascii="Times New Roman" w:hAnsi="Times New Roman"/>
          <w:color w:val="auto"/>
          <w:sz w:val="20"/>
          <w:szCs w:val="20"/>
        </w:rPr>
        <w:t>Uzunov</w:t>
      </w:r>
      <w:proofErr w:type="spellEnd"/>
      <w:r w:rsidRPr="00053ABA">
        <w:rPr>
          <w:rFonts w:ascii="Times New Roman" w:hAnsi="Times New Roman"/>
          <w:color w:val="auto"/>
          <w:sz w:val="20"/>
          <w:szCs w:val="20"/>
        </w:rPr>
        <w:t xml:space="preserve">, N. (1966). </w:t>
      </w:r>
      <w:proofErr w:type="spellStart"/>
      <w:r w:rsidRPr="00053ABA">
        <w:rPr>
          <w:rFonts w:ascii="Times New Roman" w:hAnsi="Times New Roman"/>
          <w:i/>
          <w:color w:val="auto"/>
          <w:sz w:val="20"/>
          <w:szCs w:val="20"/>
        </w:rPr>
        <w:t>Ekonomika</w:t>
      </w:r>
      <w:proofErr w:type="spellEnd"/>
      <w:r w:rsidRPr="00053ABA">
        <w:rPr>
          <w:rFonts w:ascii="Times New Roman" w:hAnsi="Times New Roman"/>
          <w:i/>
          <w:color w:val="auto"/>
          <w:sz w:val="20"/>
          <w:szCs w:val="20"/>
        </w:rPr>
        <w:t xml:space="preserve"> of Yugoslavia. </w:t>
      </w:r>
      <w:r w:rsidRPr="00053ABA">
        <w:rPr>
          <w:rFonts w:ascii="Times New Roman" w:hAnsi="Times New Roman"/>
          <w:color w:val="auto"/>
          <w:sz w:val="20"/>
          <w:szCs w:val="20"/>
        </w:rPr>
        <w:t xml:space="preserve">Skopje: University of Skopje. </w:t>
      </w:r>
    </w:p>
  </w:footnote>
  <w:footnote w:id="3">
    <w:p w:rsidR="00053ABA" w:rsidRPr="00053ABA" w:rsidRDefault="00053ABA">
      <w:pPr>
        <w:pStyle w:val="FootnoteText"/>
        <w:rPr>
          <w:lang w:val="en-US"/>
        </w:rPr>
      </w:pPr>
      <w:r>
        <w:rPr>
          <w:rStyle w:val="FootnoteReference"/>
        </w:rPr>
        <w:footnoteRef/>
      </w:r>
      <w:r>
        <w:t xml:space="preserve"> </w:t>
      </w:r>
      <w:r w:rsidRPr="00053ABA">
        <w:t xml:space="preserve">World Bank. (1993). </w:t>
      </w:r>
      <w:proofErr w:type="gramStart"/>
      <w:r w:rsidRPr="00053ABA">
        <w:rPr>
          <w:i/>
        </w:rPr>
        <w:t>The</w:t>
      </w:r>
      <w:proofErr w:type="gramEnd"/>
      <w:r w:rsidRPr="00053ABA">
        <w:rPr>
          <w:i/>
        </w:rPr>
        <w:t xml:space="preserve"> costs and benefits of Slovenian independence.</w:t>
      </w:r>
      <w:r w:rsidRPr="00053ABA">
        <w:t xml:space="preserve"> </w:t>
      </w:r>
      <w:r w:rsidRPr="00053ABA">
        <w:rPr>
          <w:i/>
        </w:rPr>
        <w:t>World Bank Working Papers WPS 1126</w:t>
      </w:r>
    </w:p>
  </w:footnote>
  <w:footnote w:id="4">
    <w:p w:rsidR="00053ABA" w:rsidRPr="00053ABA" w:rsidRDefault="00053ABA">
      <w:pPr>
        <w:pStyle w:val="FootnoteText"/>
        <w:rPr>
          <w:lang w:val="en-US"/>
        </w:rPr>
      </w:pPr>
      <w:r>
        <w:rPr>
          <w:rStyle w:val="FootnoteReference"/>
        </w:rPr>
        <w:footnoteRef/>
      </w:r>
      <w:r>
        <w:t xml:space="preserve"> </w:t>
      </w:r>
      <w:proofErr w:type="spellStart"/>
      <w:r w:rsidRPr="00053ABA">
        <w:t>Nikolov</w:t>
      </w:r>
      <w:proofErr w:type="spellEnd"/>
      <w:r w:rsidRPr="00053ABA">
        <w:t xml:space="preserve">, M. (2013). </w:t>
      </w:r>
      <w:r w:rsidRPr="00053ABA">
        <w:rPr>
          <w:i/>
        </w:rPr>
        <w:t>Cost Efficiency of Municipalities in Service Delivery: Does Ethnic Fragmentation Matter?</w:t>
      </w:r>
      <w:r w:rsidRPr="00053ABA">
        <w:t xml:space="preserve"> Lex </w:t>
      </w:r>
      <w:proofErr w:type="spellStart"/>
      <w:r w:rsidRPr="00053ABA">
        <w:t>Localis</w:t>
      </w:r>
      <w:proofErr w:type="spellEnd"/>
      <w:r w:rsidRPr="00053ABA">
        <w:t xml:space="preserve"> Ljubljana, </w:t>
      </w:r>
      <w:r w:rsidRPr="00053ABA">
        <w:rPr>
          <w:rFonts w:eastAsia="Times New Roman"/>
        </w:rPr>
        <w:t>Co-publisher's ISBN-13: 978-961-6842-16-7 DOI: 10.4335/</w:t>
      </w:r>
      <w:proofErr w:type="gramStart"/>
      <w:r w:rsidRPr="00053ABA">
        <w:rPr>
          <w:rFonts w:eastAsia="Times New Roman"/>
        </w:rPr>
        <w:t>978.961.6842.16.7(</w:t>
      </w:r>
      <w:proofErr w:type="gramEnd"/>
      <w:r w:rsidRPr="00053ABA">
        <w:rPr>
          <w:rFonts w:eastAsia="Times New Roman"/>
        </w:rPr>
        <w:t>2013)</w:t>
      </w:r>
      <w:r>
        <w:rPr>
          <w:rFonts w:eastAsia="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528"/>
      <w:gridCol w:w="5328"/>
    </w:tblGrid>
    <w:tr w:rsidR="002C0F31" w:rsidTr="00000978">
      <w:trPr>
        <w:trHeight w:val="539"/>
      </w:trPr>
      <w:tc>
        <w:tcPr>
          <w:tcW w:w="3528" w:type="dxa"/>
          <w:vMerge w:val="restart"/>
        </w:tcPr>
        <w:p w:rsidR="002C0F31" w:rsidRDefault="002C0F31" w:rsidP="002C0F31">
          <w:pPr>
            <w:pStyle w:val="Header"/>
          </w:pPr>
          <w:r>
            <w:rPr>
              <w:noProof/>
              <w:lang w:eastAsia="mk-MK"/>
            </w:rPr>
            <w:drawing>
              <wp:inline distT="0" distB="0" distL="0" distR="0" wp14:anchorId="7D1C301E" wp14:editId="3D6EF625">
                <wp:extent cx="1562100" cy="7048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62100" cy="704850"/>
                        </a:xfrm>
                        <a:prstGeom prst="rect">
                          <a:avLst/>
                        </a:prstGeom>
                        <a:noFill/>
                        <a:ln w="9525">
                          <a:noFill/>
                          <a:miter lim="800000"/>
                          <a:headEnd/>
                          <a:tailEnd/>
                        </a:ln>
                      </pic:spPr>
                    </pic:pic>
                  </a:graphicData>
                </a:graphic>
              </wp:inline>
            </w:drawing>
          </w:r>
        </w:p>
      </w:tc>
      <w:tc>
        <w:tcPr>
          <w:tcW w:w="5328" w:type="dxa"/>
          <w:vAlign w:val="bottom"/>
        </w:tcPr>
        <w:p w:rsidR="002C0F31" w:rsidRPr="00597F9C" w:rsidRDefault="002C0F31" w:rsidP="002C0F31">
          <w:pPr>
            <w:pStyle w:val="Header"/>
            <w:jc w:val="right"/>
            <w:rPr>
              <w:rFonts w:ascii="Times New Roman" w:hAnsi="Times New Roman"/>
              <w:b/>
              <w:bCs/>
              <w:i/>
              <w:iCs/>
              <w:sz w:val="20"/>
            </w:rPr>
          </w:pPr>
          <w:r w:rsidRPr="00597F9C">
            <w:rPr>
              <w:rFonts w:ascii="Times New Roman" w:hAnsi="Times New Roman"/>
              <w:b/>
              <w:bCs/>
              <w:i/>
              <w:iCs/>
            </w:rPr>
            <w:t>CENTER FOR ECONOMIC ANALYSES (CEA)</w:t>
          </w:r>
        </w:p>
      </w:tc>
    </w:tr>
    <w:tr w:rsidR="002C0F31" w:rsidTr="00000978">
      <w:tc>
        <w:tcPr>
          <w:tcW w:w="3528" w:type="dxa"/>
          <w:vMerge/>
        </w:tcPr>
        <w:p w:rsidR="002C0F31" w:rsidRDefault="002C0F31" w:rsidP="002C0F31">
          <w:pPr>
            <w:pStyle w:val="Header"/>
          </w:pPr>
        </w:p>
      </w:tc>
      <w:tc>
        <w:tcPr>
          <w:tcW w:w="5328" w:type="dxa"/>
        </w:tcPr>
        <w:p w:rsidR="002C0F31" w:rsidRPr="00597F9C" w:rsidRDefault="002C0F31" w:rsidP="002C0F31">
          <w:pPr>
            <w:pStyle w:val="Header"/>
            <w:jc w:val="right"/>
            <w:rPr>
              <w:rFonts w:ascii="Times New Roman" w:hAnsi="Times New Roman"/>
              <w:b/>
              <w:bCs/>
              <w:i/>
              <w:iCs/>
              <w:sz w:val="20"/>
            </w:rPr>
          </w:pPr>
          <w:proofErr w:type="spellStart"/>
          <w:r w:rsidRPr="00597F9C">
            <w:rPr>
              <w:rFonts w:ascii="Times New Roman" w:hAnsi="Times New Roman"/>
              <w:b/>
              <w:bCs/>
              <w:i/>
              <w:iCs/>
              <w:sz w:val="20"/>
            </w:rPr>
            <w:t>We</w:t>
          </w:r>
          <w:proofErr w:type="spellEnd"/>
          <w:r w:rsidRPr="00597F9C">
            <w:rPr>
              <w:rFonts w:ascii="Times New Roman" w:hAnsi="Times New Roman"/>
              <w:b/>
              <w:bCs/>
              <w:i/>
              <w:iCs/>
              <w:sz w:val="20"/>
            </w:rPr>
            <w:t xml:space="preserve"> </w:t>
          </w:r>
          <w:proofErr w:type="spellStart"/>
          <w:r w:rsidRPr="00597F9C">
            <w:rPr>
              <w:rFonts w:ascii="Times New Roman" w:hAnsi="Times New Roman"/>
              <w:b/>
              <w:bCs/>
              <w:i/>
              <w:iCs/>
              <w:sz w:val="20"/>
            </w:rPr>
            <w:t>are</w:t>
          </w:r>
          <w:proofErr w:type="spellEnd"/>
          <w:r w:rsidRPr="00597F9C">
            <w:rPr>
              <w:rFonts w:ascii="Times New Roman" w:hAnsi="Times New Roman"/>
              <w:b/>
              <w:bCs/>
              <w:i/>
              <w:iCs/>
              <w:sz w:val="20"/>
            </w:rPr>
            <w:t xml:space="preserve"> </w:t>
          </w:r>
          <w:proofErr w:type="spellStart"/>
          <w:r w:rsidRPr="00597F9C">
            <w:rPr>
              <w:rFonts w:ascii="Times New Roman" w:hAnsi="Times New Roman"/>
              <w:b/>
              <w:bCs/>
              <w:i/>
              <w:iCs/>
              <w:sz w:val="20"/>
            </w:rPr>
            <w:t>making</w:t>
          </w:r>
          <w:proofErr w:type="spellEnd"/>
          <w:r w:rsidRPr="00597F9C">
            <w:rPr>
              <w:rFonts w:ascii="Times New Roman" w:hAnsi="Times New Roman"/>
              <w:b/>
              <w:bCs/>
              <w:i/>
              <w:iCs/>
              <w:sz w:val="20"/>
            </w:rPr>
            <w:t xml:space="preserve"> a </w:t>
          </w:r>
          <w:proofErr w:type="spellStart"/>
          <w:r w:rsidRPr="00597F9C">
            <w:rPr>
              <w:rFonts w:ascii="Times New Roman" w:hAnsi="Times New Roman"/>
              <w:b/>
              <w:bCs/>
              <w:i/>
              <w:iCs/>
              <w:sz w:val="20"/>
            </w:rPr>
            <w:t>difference</w:t>
          </w:r>
          <w:proofErr w:type="spellEnd"/>
        </w:p>
      </w:tc>
    </w:tr>
  </w:tbl>
  <w:p w:rsidR="002C0F31" w:rsidRDefault="002C0F31" w:rsidP="002C0F31">
    <w:pPr>
      <w:pStyle w:val="Header"/>
    </w:pPr>
  </w:p>
  <w:p w:rsidR="002C0F31" w:rsidRDefault="002C0F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71B23"/>
    <w:multiLevelType w:val="hybridMultilevel"/>
    <w:tmpl w:val="82A441AC"/>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BB"/>
    <w:rsid w:val="00053ABA"/>
    <w:rsid w:val="00061D24"/>
    <w:rsid w:val="00075CBD"/>
    <w:rsid w:val="00136CCD"/>
    <w:rsid w:val="001516E8"/>
    <w:rsid w:val="001646BB"/>
    <w:rsid w:val="0017362E"/>
    <w:rsid w:val="001773F3"/>
    <w:rsid w:val="001C4D6A"/>
    <w:rsid w:val="001D49E4"/>
    <w:rsid w:val="00225A44"/>
    <w:rsid w:val="002B7435"/>
    <w:rsid w:val="002C0F31"/>
    <w:rsid w:val="002E5E26"/>
    <w:rsid w:val="00354C0F"/>
    <w:rsid w:val="00362863"/>
    <w:rsid w:val="003D28EB"/>
    <w:rsid w:val="00453127"/>
    <w:rsid w:val="00481D4D"/>
    <w:rsid w:val="00530EC6"/>
    <w:rsid w:val="00535A8D"/>
    <w:rsid w:val="005B10D4"/>
    <w:rsid w:val="005F4642"/>
    <w:rsid w:val="0060254F"/>
    <w:rsid w:val="00607829"/>
    <w:rsid w:val="00632EFE"/>
    <w:rsid w:val="006C3084"/>
    <w:rsid w:val="006D56E9"/>
    <w:rsid w:val="00705FEC"/>
    <w:rsid w:val="00747E00"/>
    <w:rsid w:val="00760B77"/>
    <w:rsid w:val="00795197"/>
    <w:rsid w:val="007B7108"/>
    <w:rsid w:val="007C28FD"/>
    <w:rsid w:val="007D0625"/>
    <w:rsid w:val="008249C3"/>
    <w:rsid w:val="00884AC5"/>
    <w:rsid w:val="00894272"/>
    <w:rsid w:val="00896B33"/>
    <w:rsid w:val="008F5221"/>
    <w:rsid w:val="008F645F"/>
    <w:rsid w:val="00907CCD"/>
    <w:rsid w:val="00987072"/>
    <w:rsid w:val="00987E74"/>
    <w:rsid w:val="00991FFB"/>
    <w:rsid w:val="009D3572"/>
    <w:rsid w:val="009F5271"/>
    <w:rsid w:val="00A211E3"/>
    <w:rsid w:val="00A223A9"/>
    <w:rsid w:val="00A63736"/>
    <w:rsid w:val="00A71CE5"/>
    <w:rsid w:val="00AA2C13"/>
    <w:rsid w:val="00B02E3E"/>
    <w:rsid w:val="00BC7ABC"/>
    <w:rsid w:val="00BE499F"/>
    <w:rsid w:val="00C334F8"/>
    <w:rsid w:val="00C5717E"/>
    <w:rsid w:val="00C836C7"/>
    <w:rsid w:val="00CA3C21"/>
    <w:rsid w:val="00CC6B76"/>
    <w:rsid w:val="00CF3BD5"/>
    <w:rsid w:val="00D25D16"/>
    <w:rsid w:val="00D26008"/>
    <w:rsid w:val="00D46305"/>
    <w:rsid w:val="00D5222D"/>
    <w:rsid w:val="00D7569A"/>
    <w:rsid w:val="00D821B7"/>
    <w:rsid w:val="00DF5669"/>
    <w:rsid w:val="00E17EFE"/>
    <w:rsid w:val="00E64335"/>
    <w:rsid w:val="00EA5523"/>
    <w:rsid w:val="00F41ECA"/>
    <w:rsid w:val="00FD553F"/>
    <w:rsid w:val="00FD6F8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E3C8E-51D9-4166-B5A7-F4D5BE02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8FD"/>
    <w:rPr>
      <w:color w:val="0563C1" w:themeColor="hyperlink"/>
      <w:u w:val="single"/>
    </w:rPr>
  </w:style>
  <w:style w:type="paragraph" w:styleId="FootnoteText">
    <w:name w:val="footnote text"/>
    <w:basedOn w:val="Normal"/>
    <w:link w:val="FootnoteTextChar"/>
    <w:rsid w:val="00F41ECA"/>
    <w:pPr>
      <w:spacing w:after="0" w:line="240" w:lineRule="auto"/>
    </w:pPr>
    <w:rPr>
      <w:rFonts w:ascii="Times New Roman" w:eastAsia="Calibri" w:hAnsi="Times New Roman" w:cs="Times New Roman"/>
      <w:sz w:val="20"/>
      <w:szCs w:val="20"/>
      <w:lang w:val="en-GB" w:eastAsia="sl-SI"/>
    </w:rPr>
  </w:style>
  <w:style w:type="character" w:customStyle="1" w:styleId="FootnoteTextChar">
    <w:name w:val="Footnote Text Char"/>
    <w:basedOn w:val="DefaultParagraphFont"/>
    <w:link w:val="FootnoteText"/>
    <w:rsid w:val="00F41ECA"/>
    <w:rPr>
      <w:rFonts w:ascii="Times New Roman" w:eastAsia="Calibri" w:hAnsi="Times New Roman" w:cs="Times New Roman"/>
      <w:sz w:val="20"/>
      <w:szCs w:val="20"/>
      <w:lang w:val="en-GB" w:eastAsia="sl-SI"/>
    </w:rPr>
  </w:style>
  <w:style w:type="character" w:styleId="FootnoteReference">
    <w:name w:val="footnote reference"/>
    <w:rsid w:val="00F41ECA"/>
    <w:rPr>
      <w:vertAlign w:val="superscript"/>
    </w:rPr>
  </w:style>
  <w:style w:type="paragraph" w:styleId="Caption">
    <w:name w:val="caption"/>
    <w:basedOn w:val="Normal"/>
    <w:next w:val="Normal"/>
    <w:qFormat/>
    <w:rsid w:val="00F41ECA"/>
    <w:pPr>
      <w:spacing w:after="200" w:line="240" w:lineRule="auto"/>
    </w:pPr>
    <w:rPr>
      <w:rFonts w:ascii="Times New Roman" w:eastAsia="Calibri" w:hAnsi="Times New Roman" w:cs="Times New Roman"/>
      <w:b/>
      <w:bCs/>
      <w:color w:val="4F81BD"/>
      <w:sz w:val="18"/>
      <w:szCs w:val="18"/>
      <w:lang w:val="en-GB" w:eastAsia="sl-SI"/>
    </w:rPr>
  </w:style>
  <w:style w:type="paragraph" w:styleId="Header">
    <w:name w:val="header"/>
    <w:basedOn w:val="Normal"/>
    <w:link w:val="HeaderChar"/>
    <w:unhideWhenUsed/>
    <w:rsid w:val="00362863"/>
    <w:pPr>
      <w:tabs>
        <w:tab w:val="center" w:pos="4513"/>
        <w:tab w:val="right" w:pos="9026"/>
      </w:tabs>
      <w:spacing w:after="0" w:line="240" w:lineRule="auto"/>
    </w:pPr>
  </w:style>
  <w:style w:type="character" w:customStyle="1" w:styleId="HeaderChar">
    <w:name w:val="Header Char"/>
    <w:basedOn w:val="DefaultParagraphFont"/>
    <w:link w:val="Header"/>
    <w:rsid w:val="00362863"/>
  </w:style>
  <w:style w:type="paragraph" w:styleId="Footer">
    <w:name w:val="footer"/>
    <w:basedOn w:val="Normal"/>
    <w:link w:val="FooterChar"/>
    <w:unhideWhenUsed/>
    <w:rsid w:val="00362863"/>
    <w:pPr>
      <w:tabs>
        <w:tab w:val="center" w:pos="4513"/>
        <w:tab w:val="right" w:pos="9026"/>
      </w:tabs>
      <w:spacing w:after="0" w:line="240" w:lineRule="auto"/>
    </w:pPr>
  </w:style>
  <w:style w:type="character" w:customStyle="1" w:styleId="FooterChar">
    <w:name w:val="Footer Char"/>
    <w:basedOn w:val="DefaultParagraphFont"/>
    <w:link w:val="Footer"/>
    <w:rsid w:val="00362863"/>
  </w:style>
  <w:style w:type="character" w:styleId="FollowedHyperlink">
    <w:name w:val="FollowedHyperlink"/>
    <w:basedOn w:val="DefaultParagraphFont"/>
    <w:uiPriority w:val="99"/>
    <w:semiHidden/>
    <w:unhideWhenUsed/>
    <w:rsid w:val="00D5222D"/>
    <w:rPr>
      <w:color w:val="954F72" w:themeColor="followedHyperlink"/>
      <w:u w:val="single"/>
    </w:rPr>
  </w:style>
  <w:style w:type="paragraph" w:styleId="NormalWeb">
    <w:name w:val="Normal (Web)"/>
    <w:basedOn w:val="Normal"/>
    <w:uiPriority w:val="99"/>
    <w:rsid w:val="00053ABA"/>
    <w:pPr>
      <w:spacing w:before="100" w:beforeAutospacing="1" w:after="100" w:afterAutospacing="1" w:line="300" w:lineRule="auto"/>
    </w:pPr>
    <w:rPr>
      <w:rFonts w:ascii="Verdana" w:eastAsia="Calibri" w:hAnsi="Verdana"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47484">
      <w:bodyDiv w:val="1"/>
      <w:marLeft w:val="0"/>
      <w:marRight w:val="0"/>
      <w:marTop w:val="0"/>
      <w:marBottom w:val="0"/>
      <w:divBdr>
        <w:top w:val="none" w:sz="0" w:space="0" w:color="auto"/>
        <w:left w:val="none" w:sz="0" w:space="0" w:color="auto"/>
        <w:bottom w:val="none" w:sz="0" w:space="0" w:color="auto"/>
        <w:right w:val="none" w:sz="0" w:space="0" w:color="auto"/>
      </w:divBdr>
      <w:divsChild>
        <w:div w:id="215703061">
          <w:marLeft w:val="0"/>
          <w:marRight w:val="0"/>
          <w:marTop w:val="0"/>
          <w:marBottom w:val="0"/>
          <w:divBdr>
            <w:top w:val="none" w:sz="0" w:space="0" w:color="auto"/>
            <w:left w:val="none" w:sz="0" w:space="0" w:color="auto"/>
            <w:bottom w:val="none" w:sz="0" w:space="0" w:color="auto"/>
            <w:right w:val="none" w:sz="0" w:space="0" w:color="auto"/>
          </w:divBdr>
        </w:div>
        <w:div w:id="1721782522">
          <w:marLeft w:val="0"/>
          <w:marRight w:val="0"/>
          <w:marTop w:val="0"/>
          <w:marBottom w:val="0"/>
          <w:divBdr>
            <w:top w:val="none" w:sz="0" w:space="0" w:color="auto"/>
            <w:left w:val="none" w:sz="0" w:space="0" w:color="auto"/>
            <w:bottom w:val="none" w:sz="0" w:space="0" w:color="auto"/>
            <w:right w:val="none" w:sz="0" w:space="0" w:color="auto"/>
          </w:divBdr>
        </w:div>
        <w:div w:id="707341052">
          <w:marLeft w:val="0"/>
          <w:marRight w:val="0"/>
          <w:marTop w:val="0"/>
          <w:marBottom w:val="0"/>
          <w:divBdr>
            <w:top w:val="none" w:sz="0" w:space="0" w:color="auto"/>
            <w:left w:val="none" w:sz="0" w:space="0" w:color="auto"/>
            <w:bottom w:val="none" w:sz="0" w:space="0" w:color="auto"/>
            <w:right w:val="none" w:sz="0" w:space="0" w:color="auto"/>
          </w:divBdr>
        </w:div>
      </w:divsChild>
    </w:div>
    <w:div w:id="6020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kmar2000@yahoo.com" TargetMode="External"/><Relationship Id="rId13" Type="http://schemas.openxmlformats.org/officeDocument/2006/relationships/hyperlink" Target="http://mls.gov.mk/" TargetMode="External"/><Relationship Id="rId18" Type="http://schemas.openxmlformats.org/officeDocument/2006/relationships/hyperlink" Target="http://brr.gov.mk/mk/%d0%bf%d0%be%d1%87%d0%b5%d1%82%d0%bd%d0%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lada.mk/?language=en-gb"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cea.org.mk/?lang=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gov.mk/PrikaziPublikacija_1.aspx?rbr=675" TargetMode="External"/><Relationship Id="rId5" Type="http://schemas.openxmlformats.org/officeDocument/2006/relationships/webSettings" Target="webSettings.xml"/><Relationship Id="rId15" Type="http://schemas.openxmlformats.org/officeDocument/2006/relationships/hyperlink" Target="http://brr.gov.mk/mk/%d0%bf%d0%be%d1%87%d0%b5%d1%82%d0%bd%d0%b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tat.gov.m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cea.org.mk" TargetMode="External"/><Relationship Id="rId1" Type="http://schemas.openxmlformats.org/officeDocument/2006/relationships/hyperlink" Target="http://www.cea.org.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A311-6E35-41EE-A994-26FB8F65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dc:creator>
  <cp:keywords/>
  <dc:description/>
  <cp:lastModifiedBy>Marjan</cp:lastModifiedBy>
  <cp:revision>5</cp:revision>
  <dcterms:created xsi:type="dcterms:W3CDTF">2017-06-29T16:27:00Z</dcterms:created>
  <dcterms:modified xsi:type="dcterms:W3CDTF">2017-06-30T17:09:00Z</dcterms:modified>
</cp:coreProperties>
</file>